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61066" w:rsidRPr="00327D7E" w:rsidRDefault="00221986" w:rsidP="00061066">
      <w:pPr>
        <w:jc w:val="center"/>
        <w:rPr>
          <w:sz w:val="20"/>
          <w:szCs w:val="20"/>
        </w:rPr>
      </w:pPr>
      <w:r w:rsidRPr="00327D7E">
        <w:rPr>
          <w:rFonts w:hint="eastAsia"/>
          <w:sz w:val="20"/>
          <w:szCs w:val="20"/>
        </w:rPr>
        <w:t>泰國</w:t>
      </w:r>
      <w:r w:rsidR="00536559">
        <w:rPr>
          <w:rFonts w:hint="eastAsia"/>
          <w:sz w:val="20"/>
          <w:szCs w:val="20"/>
        </w:rPr>
        <w:t>專利</w:t>
      </w:r>
    </w:p>
    <w:p w:rsidR="00061066" w:rsidRPr="00327D7E" w:rsidRDefault="00281ED7" w:rsidP="00061066">
      <w:pPr>
        <w:jc w:val="center"/>
        <w:rPr>
          <w:sz w:val="20"/>
          <w:szCs w:val="20"/>
        </w:rPr>
      </w:pPr>
      <w:r>
        <w:rPr>
          <w:rFonts w:hint="eastAsia"/>
        </w:rPr>
        <w:t>DIP</w:t>
      </w:r>
      <w:r w:rsidR="00B8067C">
        <w:rPr>
          <w:rFonts w:hint="eastAsia"/>
        </w:rPr>
        <w:t xml:space="preserve"> </w:t>
      </w:r>
      <w:r w:rsidR="00061066" w:rsidRPr="00327D7E">
        <w:rPr>
          <w:rFonts w:hint="eastAsia"/>
          <w:sz w:val="20"/>
          <w:szCs w:val="20"/>
        </w:rPr>
        <w:t>網址：</w:t>
      </w:r>
      <w:r w:rsidR="00E031AE" w:rsidRPr="00E031AE">
        <w:rPr>
          <w:sz w:val="20"/>
          <w:szCs w:val="20"/>
        </w:rPr>
        <w:t>http://www.ipthailand.org/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16"/>
        <w:gridCol w:w="10182"/>
      </w:tblGrid>
      <w:tr w:rsidR="00061066" w:rsidRPr="00327D7E" w:rsidTr="000132D8">
        <w:tc>
          <w:tcPr>
            <w:tcW w:w="416" w:type="dxa"/>
            <w:vAlign w:val="center"/>
          </w:tcPr>
          <w:p w:rsidR="00061066" w:rsidRPr="00327D7E" w:rsidRDefault="00061066" w:rsidP="000132D8">
            <w:pPr>
              <w:jc w:val="center"/>
              <w:rPr>
                <w:sz w:val="20"/>
                <w:szCs w:val="20"/>
              </w:rPr>
            </w:pPr>
            <w:r w:rsidRPr="00327D7E">
              <w:rPr>
                <w:rFonts w:hint="eastAsia"/>
                <w:sz w:val="20"/>
                <w:szCs w:val="20"/>
              </w:rPr>
              <w:t>專利種類</w:t>
            </w:r>
          </w:p>
        </w:tc>
        <w:tc>
          <w:tcPr>
            <w:tcW w:w="1018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91"/>
              <w:gridCol w:w="2492"/>
              <w:gridCol w:w="2491"/>
              <w:gridCol w:w="2492"/>
            </w:tblGrid>
            <w:tr w:rsidR="00304F0E" w:rsidRPr="00327D7E" w:rsidTr="00304F0E">
              <w:trPr>
                <w:tblCellSpacing w:w="15" w:type="dxa"/>
              </w:trPr>
              <w:tc>
                <w:tcPr>
                  <w:tcW w:w="2446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304F0E" w:rsidRPr="00304F0E" w:rsidRDefault="00304F0E" w:rsidP="00304F0E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304F0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專利</w:t>
                  </w:r>
                  <w:r w:rsidRPr="00304F0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/</w:t>
                  </w:r>
                  <w:r w:rsidRPr="00304F0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保護種類</w:t>
                  </w:r>
                </w:p>
              </w:tc>
              <w:tc>
                <w:tcPr>
                  <w:tcW w:w="2462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304F0E" w:rsidRPr="00304F0E" w:rsidRDefault="00304F0E" w:rsidP="00304F0E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304F0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保護年限（自申請日起算）</w:t>
                  </w:r>
                </w:p>
              </w:tc>
              <w:tc>
                <w:tcPr>
                  <w:tcW w:w="2461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304F0E" w:rsidRPr="00304F0E" w:rsidRDefault="00304F0E" w:rsidP="00304F0E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304F0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審查制度</w:t>
                  </w:r>
                </w:p>
              </w:tc>
              <w:tc>
                <w:tcPr>
                  <w:tcW w:w="2447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304F0E" w:rsidRPr="00304F0E" w:rsidRDefault="00304F0E" w:rsidP="00304F0E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304F0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核心保護標的</w:t>
                  </w:r>
                </w:p>
              </w:tc>
            </w:tr>
            <w:tr w:rsidR="00304F0E" w:rsidRPr="00327D7E" w:rsidTr="00304F0E">
              <w:trPr>
                <w:tblCellSpacing w:w="15" w:type="dxa"/>
              </w:trPr>
              <w:tc>
                <w:tcPr>
                  <w:tcW w:w="2446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304F0E" w:rsidRPr="00304F0E" w:rsidRDefault="00304F0E" w:rsidP="00304F0E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發明專利</w:t>
                  </w:r>
                </w:p>
              </w:tc>
              <w:tc>
                <w:tcPr>
                  <w:tcW w:w="2462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304F0E" w:rsidRPr="00304F0E" w:rsidRDefault="00304F0E" w:rsidP="00304F0E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 xml:space="preserve">20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年</w:t>
                  </w:r>
                  <w:r w:rsidRPr="00304F0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（不可延期）</w:t>
                  </w:r>
                </w:p>
              </w:tc>
              <w:tc>
                <w:tcPr>
                  <w:tcW w:w="2461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304F0E" w:rsidRPr="00304F0E" w:rsidRDefault="00304F0E" w:rsidP="00304F0E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04F0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實體審查制（含新穎性、進步性與產業利用性）</w:t>
                  </w:r>
                </w:p>
              </w:tc>
              <w:tc>
                <w:tcPr>
                  <w:tcW w:w="2447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304F0E" w:rsidRPr="00304F0E" w:rsidRDefault="00304F0E" w:rsidP="00304F0E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04F0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新的技術產品或方法（製程）。</w:t>
                  </w:r>
                </w:p>
              </w:tc>
            </w:tr>
            <w:tr w:rsidR="00304F0E" w:rsidRPr="00327D7E" w:rsidTr="00304F0E">
              <w:trPr>
                <w:tblCellSpacing w:w="15" w:type="dxa"/>
              </w:trPr>
              <w:tc>
                <w:tcPr>
                  <w:tcW w:w="2446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304F0E" w:rsidRPr="00304F0E" w:rsidRDefault="00304F0E" w:rsidP="00304F0E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小專利</w:t>
                  </w:r>
                  <w:r w:rsidRPr="00304F0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br/>
                  </w:r>
                  <w:r w:rsidRPr="00327D7E">
                    <w:rPr>
                      <w:rFonts w:ascii="Arial" w:eastAsia="新細明體" w:hAnsi="Arial" w:cs="Arial"/>
                      <w:i/>
                      <w:iCs/>
                      <w:kern w:val="0"/>
                      <w:sz w:val="20"/>
                      <w:szCs w:val="20"/>
                    </w:rPr>
                    <w:t>(</w:t>
                  </w:r>
                  <w:r w:rsidRPr="00327D7E">
                    <w:rPr>
                      <w:rFonts w:ascii="Arial" w:eastAsia="新細明體" w:hAnsi="Arial" w:cs="Arial"/>
                      <w:i/>
                      <w:iCs/>
                      <w:kern w:val="0"/>
                      <w:sz w:val="20"/>
                      <w:szCs w:val="20"/>
                    </w:rPr>
                    <w:t>即新型專利</w:t>
                  </w:r>
                  <w:r w:rsidRPr="00327D7E">
                    <w:rPr>
                      <w:rFonts w:ascii="Arial" w:eastAsia="新細明體" w:hAnsi="Arial" w:cs="Arial"/>
                      <w:i/>
                      <w:iCs/>
                      <w:kern w:val="0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2462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304F0E" w:rsidRPr="00304F0E" w:rsidRDefault="00304F0E" w:rsidP="00304F0E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 xml:space="preserve">6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年</w:t>
                  </w:r>
                  <w:r w:rsidRPr="00304F0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（期滿可分兩次展延，每次</w:t>
                  </w:r>
                  <w:r w:rsidRPr="00304F0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2</w:t>
                  </w:r>
                  <w:r w:rsidRPr="00304F0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年，最長</w:t>
                  </w:r>
                  <w:r w:rsidRPr="00304F0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 xml:space="preserve">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 xml:space="preserve">10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年</w:t>
                  </w:r>
                  <w:r w:rsidRPr="00304F0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）</w:t>
                  </w:r>
                </w:p>
              </w:tc>
              <w:tc>
                <w:tcPr>
                  <w:tcW w:w="2461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304F0E" w:rsidRPr="00304F0E" w:rsidRDefault="00304F0E" w:rsidP="00304F0E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登記制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 xml:space="preserve"> /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形式審查</w:t>
                  </w:r>
                  <w:r w:rsidRPr="00304F0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（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不審查進步性</w:t>
                  </w:r>
                  <w:r w:rsidRPr="00304F0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，免去實體審查）</w:t>
                  </w:r>
                </w:p>
              </w:tc>
              <w:tc>
                <w:tcPr>
                  <w:tcW w:w="2447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304F0E" w:rsidRPr="00304F0E" w:rsidRDefault="00304F0E" w:rsidP="00304F0E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04F0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創新程度較低、著重實用改良的全新產品結構或技術（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亦可保護方法</w:t>
                  </w:r>
                  <w:r w:rsidRPr="00304F0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）。</w:t>
                  </w:r>
                </w:p>
              </w:tc>
            </w:tr>
            <w:tr w:rsidR="00304F0E" w:rsidRPr="00327D7E" w:rsidTr="00304F0E">
              <w:trPr>
                <w:tblCellSpacing w:w="15" w:type="dxa"/>
              </w:trPr>
              <w:tc>
                <w:tcPr>
                  <w:tcW w:w="2446" w:type="dxa"/>
                  <w:tcBorders>
                    <w:bottom w:val="nil"/>
                  </w:tcBorders>
                  <w:vAlign w:val="center"/>
                  <w:hideMark/>
                </w:tcPr>
                <w:p w:rsidR="00304F0E" w:rsidRPr="00304F0E" w:rsidRDefault="00304F0E" w:rsidP="00304F0E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設計專利</w:t>
                  </w:r>
                </w:p>
              </w:tc>
              <w:tc>
                <w:tcPr>
                  <w:tcW w:w="2462" w:type="dxa"/>
                  <w:tcBorders>
                    <w:bottom w:val="nil"/>
                  </w:tcBorders>
                  <w:vAlign w:val="center"/>
                  <w:hideMark/>
                </w:tcPr>
                <w:p w:rsidR="00304F0E" w:rsidRPr="00304F0E" w:rsidRDefault="00304F0E" w:rsidP="00304F0E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 xml:space="preserve">10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年</w:t>
                  </w:r>
                  <w:r w:rsidRPr="00304F0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（修正案朝向《海牙協定》國際標準最長</w:t>
                  </w:r>
                  <w:r w:rsidRPr="00304F0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 xml:space="preserve">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15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年</w:t>
                  </w:r>
                  <w:r w:rsidRPr="00304F0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邁進）</w:t>
                  </w:r>
                </w:p>
              </w:tc>
              <w:tc>
                <w:tcPr>
                  <w:tcW w:w="2461" w:type="dxa"/>
                  <w:tcBorders>
                    <w:bottom w:val="nil"/>
                  </w:tcBorders>
                  <w:vAlign w:val="center"/>
                  <w:hideMark/>
                </w:tcPr>
                <w:p w:rsidR="00304F0E" w:rsidRPr="00304F0E" w:rsidRDefault="00304F0E" w:rsidP="00304F0E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04F0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實體審查制</w:t>
                  </w:r>
                </w:p>
              </w:tc>
              <w:tc>
                <w:tcPr>
                  <w:tcW w:w="2447" w:type="dxa"/>
                  <w:tcBorders>
                    <w:bottom w:val="nil"/>
                  </w:tcBorders>
                  <w:vAlign w:val="center"/>
                  <w:hideMark/>
                </w:tcPr>
                <w:p w:rsidR="00304F0E" w:rsidRPr="00304F0E" w:rsidRDefault="00304F0E" w:rsidP="00304F0E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04F0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產品在外形、結構、</w:t>
                  </w:r>
                  <w:proofErr w:type="gramStart"/>
                  <w:r w:rsidRPr="00304F0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構型</w:t>
                  </w:r>
                  <w:proofErr w:type="gramEnd"/>
                  <w:r w:rsidRPr="00304F0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、圖案或裝飾等不重複的創新外觀特徵。</w:t>
                  </w:r>
                </w:p>
              </w:tc>
            </w:tr>
          </w:tbl>
          <w:p w:rsidR="00061066" w:rsidRPr="00327D7E" w:rsidRDefault="00061066" w:rsidP="000132D8">
            <w:pPr>
              <w:jc w:val="center"/>
              <w:rPr>
                <w:sz w:val="20"/>
                <w:szCs w:val="20"/>
              </w:rPr>
            </w:pPr>
          </w:p>
        </w:tc>
      </w:tr>
      <w:tr w:rsidR="00061066" w:rsidRPr="00327D7E" w:rsidTr="000132D8">
        <w:tc>
          <w:tcPr>
            <w:tcW w:w="416" w:type="dxa"/>
            <w:vAlign w:val="center"/>
          </w:tcPr>
          <w:p w:rsidR="00061066" w:rsidRPr="00327D7E" w:rsidRDefault="00061066" w:rsidP="000132D8">
            <w:pPr>
              <w:jc w:val="center"/>
              <w:rPr>
                <w:sz w:val="20"/>
                <w:szCs w:val="20"/>
              </w:rPr>
            </w:pPr>
            <w:r w:rsidRPr="00327D7E">
              <w:rPr>
                <w:rFonts w:hint="eastAsia"/>
                <w:sz w:val="20"/>
                <w:szCs w:val="20"/>
              </w:rPr>
              <w:t>申請要點</w:t>
            </w:r>
          </w:p>
        </w:tc>
        <w:tc>
          <w:tcPr>
            <w:tcW w:w="10182" w:type="dxa"/>
          </w:tcPr>
          <w:p w:rsidR="00304F0E" w:rsidRPr="00304F0E" w:rsidRDefault="00304F0E" w:rsidP="00304F0E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304F0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04F0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發明審查極其冗長（但正逐步推行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 PPH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機制）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：泰國發明專利的實體審查在過去以緩慢聞名，從提出申請到獲證往往需耗時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5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至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8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年。為此，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DIP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正大力推廣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「專利審查高速路（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PPH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）」機制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，若該案已在美、日、中、歐</w:t>
            </w:r>
            <w:proofErr w:type="gram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等國獲證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，可大幅縮短在泰國的排隊時間。</w:t>
            </w:r>
          </w:p>
          <w:p w:rsidR="00304F0E" w:rsidRPr="00304F0E" w:rsidRDefault="00304F0E" w:rsidP="00304F0E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304F0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04F0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絕對新穎性標準（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File Before You Disclose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：泰國採取非常嚴格的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絕對新穎性（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Absolute Novelty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原則。任何在泰國國內或國外被大眾知悉、銷售、公開發表的技術，都會直接導致專利被拒絕。</w:t>
            </w:r>
          </w:p>
          <w:p w:rsidR="00304F0E" w:rsidRPr="00304F0E" w:rsidRDefault="00304F0E" w:rsidP="00304F0E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304F0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04F0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排除電腦軟體專利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：泰國專利法明確規定，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「電腦程式（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Computer Programs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）本身」無法被授予專利保護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。軟體開發商在泰國通常必須改以「著作權法」或將軟體與實體硬體裝置相結合，作為整套技術方案來申請發明專利。</w:t>
            </w:r>
            <w:r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</w:p>
          <w:p w:rsidR="00304F0E" w:rsidRPr="00304F0E" w:rsidRDefault="00304F0E" w:rsidP="00304F0E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304F0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04F0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草案新制：全面調高超額費用（即將實施）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：在最新提請立法的專利法修正案中，泰國官方大幅提高了審查門檻。發明專利提出實體審查的官方規費顯著調高，且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針對超過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 10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項以上的權利要求（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Claims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），將強制按件收取高額超額費用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</w:t>
            </w:r>
          </w:p>
          <w:p w:rsidR="00061066" w:rsidRPr="00327D7E" w:rsidRDefault="00304F0E" w:rsidP="00304F0E">
            <w:pPr>
              <w:widowControl/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小專利（新型）發證迅速但有後置異議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：小專利由於不進行進步性的實體審查，通常在申請後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1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年內即可快速獲證。但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在獲證公告後的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 1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年內，任何第三方皆可向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 DIP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註冊官提出無效異議（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Opposition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，此時官方將會重新啟動實體新穎性檢索。</w:t>
            </w:r>
          </w:p>
        </w:tc>
      </w:tr>
      <w:tr w:rsidR="00061066" w:rsidRPr="00327D7E" w:rsidTr="000132D8">
        <w:tc>
          <w:tcPr>
            <w:tcW w:w="416" w:type="dxa"/>
            <w:vAlign w:val="center"/>
          </w:tcPr>
          <w:p w:rsidR="00061066" w:rsidRPr="00327D7E" w:rsidRDefault="00061066" w:rsidP="000132D8">
            <w:pPr>
              <w:jc w:val="center"/>
              <w:rPr>
                <w:sz w:val="20"/>
                <w:szCs w:val="20"/>
              </w:rPr>
            </w:pPr>
            <w:r w:rsidRPr="00327D7E">
              <w:rPr>
                <w:rFonts w:hint="eastAsia"/>
                <w:sz w:val="20"/>
                <w:szCs w:val="20"/>
              </w:rPr>
              <w:t>專利爭議侵權</w:t>
            </w:r>
          </w:p>
        </w:tc>
        <w:tc>
          <w:tcPr>
            <w:tcW w:w="10182" w:type="dxa"/>
          </w:tcPr>
          <w:p w:rsidR="00304F0E" w:rsidRPr="00304F0E" w:rsidRDefault="00304F0E" w:rsidP="00B67052">
            <w:pPr>
              <w:widowControl/>
              <w:numPr>
                <w:ilvl w:val="0"/>
                <w:numId w:val="31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專責法院集中管轄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：泰國所有的專利侵權訴訟與無效宣告，統一由位於曼谷的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中央智慧財產權與國際貿易法院（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CIPITC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專管審理。該法院配有法律法官與技術專家組成的雙軌審判制，比起一般地方法院更具備處理國際跨國技術官司的能力。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</w:p>
          <w:p w:rsidR="00304F0E" w:rsidRPr="00304F0E" w:rsidRDefault="00304F0E" w:rsidP="00B67052">
            <w:pPr>
              <w:widowControl/>
              <w:numPr>
                <w:ilvl w:val="0"/>
                <w:numId w:val="31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民事與刑事雙軌執法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：泰國專利侵權在法律上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同時具備民事責任與刑事責任（包含有期徒刑與罰金）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</w:t>
            </w:r>
          </w:p>
          <w:p w:rsidR="00304F0E" w:rsidRPr="00304F0E" w:rsidRDefault="00304F0E" w:rsidP="00B67052">
            <w:pPr>
              <w:widowControl/>
              <w:numPr>
                <w:ilvl w:val="1"/>
                <w:numId w:val="31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Arial" w:eastAsia="新細明體" w:hAnsi="Arial" w:cs="Arial" w:hint="eastAsia"/>
                <w:b/>
                <w:bCs/>
                <w:kern w:val="0"/>
                <w:sz w:val="20"/>
                <w:szCs w:val="20"/>
              </w:rPr>
              <w:t xml:space="preserve">  </w:t>
            </w: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刑事路徑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：權利人可向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經濟犯罪查緝局（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ECD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報案，由警方發動刑事突擊搜查、沒收侵權產品與機具，這在商標與設計仿冒中非常普遍。</w:t>
            </w:r>
          </w:p>
          <w:p w:rsidR="00304F0E" w:rsidRPr="00304F0E" w:rsidRDefault="00304F0E" w:rsidP="00B67052">
            <w:pPr>
              <w:widowControl/>
              <w:numPr>
                <w:ilvl w:val="1"/>
                <w:numId w:val="31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Arial" w:eastAsia="新細明體" w:hAnsi="Arial" w:cs="Arial" w:hint="eastAsia"/>
                <w:b/>
                <w:bCs/>
                <w:kern w:val="0"/>
                <w:sz w:val="20"/>
                <w:szCs w:val="20"/>
              </w:rPr>
              <w:t xml:space="preserve">  </w:t>
            </w: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民事路徑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：若涉及複雜的發明技術比對，通常</w:t>
            </w:r>
            <w:proofErr w:type="gram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仍須走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CIPITC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的民事訴訟以請求損害賠償。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</w:p>
          <w:p w:rsidR="00304F0E" w:rsidRPr="00304F0E" w:rsidRDefault="00304F0E" w:rsidP="00B67052">
            <w:pPr>
              <w:widowControl/>
              <w:numPr>
                <w:ilvl w:val="0"/>
                <w:numId w:val="31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侵權判定（等同原則適用範圍狹窄）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：泰國法院在審理技術侵權時，實務上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高度傾向「</w:t>
            </w:r>
            <w:proofErr w:type="gramStart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文義侵權</w:t>
            </w:r>
            <w:proofErr w:type="gramEnd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Literal Infringement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）」與「全要件原則」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。雖然法律承認等同原則，但在實務判例中，如果被告的產品在結構上有一項核心特徵與專利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Claims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的文字描述不符，泰國法官往往不太願意輕易判決等同侵權成立。</w:t>
            </w:r>
          </w:p>
          <w:p w:rsidR="00304F0E" w:rsidRPr="00304F0E" w:rsidRDefault="00304F0E" w:rsidP="00B67052">
            <w:pPr>
              <w:widowControl/>
              <w:numPr>
                <w:ilvl w:val="0"/>
                <w:numId w:val="31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邊境海關扣押（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Customs Recordation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：泰國擁有相當強大的海關智慧財產權保護機制。專利或設計權利人可以向海關進行備案登記，一旦海關在邊境查獲涉嫌侵權的進出口貨物，有權進行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現場查扣並通知權利人配合鑑定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，能從源頭阻斷</w:t>
            </w:r>
            <w:proofErr w:type="gram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海外侵權品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流入泰國市場。</w:t>
            </w:r>
          </w:p>
          <w:p w:rsidR="00304F0E" w:rsidRPr="00304F0E" w:rsidRDefault="00304F0E" w:rsidP="00B67052">
            <w:pPr>
              <w:widowControl/>
              <w:numPr>
                <w:ilvl w:val="0"/>
                <w:numId w:val="31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缺乏暫時禁令（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Preliminary Injunction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）的實務操作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：雖然泰國法律允許原告在起訴前申請「臨時禁令（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PI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）」，但在專利侵權實務中，法院核准臨時禁令的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門檻極高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。法院通常要求原告必須證明若不發禁令將造成「不可逆轉且無法以金錢賠償的巨大損害」，因此權利人很難在開庭前就叫對手停工。</w:t>
            </w:r>
          </w:p>
          <w:p w:rsidR="00061066" w:rsidRPr="00327D7E" w:rsidRDefault="00304F0E" w:rsidP="00B67052">
            <w:pPr>
              <w:widowControl/>
              <w:numPr>
                <w:ilvl w:val="0"/>
                <w:numId w:val="31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消滅時效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：專利民事侵權訴訟的損害賠償請求權時效，為自權利人「知悉侵權</w:t>
            </w:r>
            <w:proofErr w:type="gram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行為及侵權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人」之日起算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1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年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；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lastRenderedPageBreak/>
              <w:t>或自侵權行為發生之日起算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10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年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（以先到期者為</w:t>
            </w:r>
            <w:proofErr w:type="gram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準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）。</w:t>
            </w:r>
          </w:p>
        </w:tc>
      </w:tr>
    </w:tbl>
    <w:p w:rsidR="0092228A" w:rsidRPr="00327D7E" w:rsidRDefault="0092228A">
      <w:pPr>
        <w:widowControl/>
        <w:rPr>
          <w:sz w:val="20"/>
          <w:szCs w:val="20"/>
        </w:rPr>
      </w:pPr>
      <w:bookmarkStart w:id="0" w:name="_GoBack"/>
      <w:bookmarkEnd w:id="0"/>
    </w:p>
    <w:sectPr w:rsidR="0092228A" w:rsidRPr="00327D7E" w:rsidSect="002B2418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371825"/>
    <w:multiLevelType w:val="multilevel"/>
    <w:tmpl w:val="CFB87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D42204"/>
    <w:multiLevelType w:val="multilevel"/>
    <w:tmpl w:val="7978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2A0D8B"/>
    <w:multiLevelType w:val="multilevel"/>
    <w:tmpl w:val="66F2A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4E7D4E"/>
    <w:multiLevelType w:val="multilevel"/>
    <w:tmpl w:val="EACC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CDD20A1"/>
    <w:multiLevelType w:val="multilevel"/>
    <w:tmpl w:val="D4544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34205A6"/>
    <w:multiLevelType w:val="multilevel"/>
    <w:tmpl w:val="E660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3CE7B6F"/>
    <w:multiLevelType w:val="multilevel"/>
    <w:tmpl w:val="391AF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4A35C8A"/>
    <w:multiLevelType w:val="multilevel"/>
    <w:tmpl w:val="C1765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BE26F2B"/>
    <w:multiLevelType w:val="multilevel"/>
    <w:tmpl w:val="4CFCC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E8A5424"/>
    <w:multiLevelType w:val="multilevel"/>
    <w:tmpl w:val="44804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34A7591"/>
    <w:multiLevelType w:val="multilevel"/>
    <w:tmpl w:val="0C22B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6ED130E"/>
    <w:multiLevelType w:val="multilevel"/>
    <w:tmpl w:val="603C6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A8B42EE"/>
    <w:multiLevelType w:val="multilevel"/>
    <w:tmpl w:val="B4048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BEC47AA"/>
    <w:multiLevelType w:val="multilevel"/>
    <w:tmpl w:val="F046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0416C7D"/>
    <w:multiLevelType w:val="multilevel"/>
    <w:tmpl w:val="73446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5361767"/>
    <w:multiLevelType w:val="multilevel"/>
    <w:tmpl w:val="E612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60A603E"/>
    <w:multiLevelType w:val="multilevel"/>
    <w:tmpl w:val="C4F2E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D43061D"/>
    <w:multiLevelType w:val="multilevel"/>
    <w:tmpl w:val="5DE2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1773A08"/>
    <w:multiLevelType w:val="multilevel"/>
    <w:tmpl w:val="FC8A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2880F7B"/>
    <w:multiLevelType w:val="multilevel"/>
    <w:tmpl w:val="10AE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75C6478"/>
    <w:multiLevelType w:val="multilevel"/>
    <w:tmpl w:val="56C4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7C21A57"/>
    <w:multiLevelType w:val="multilevel"/>
    <w:tmpl w:val="703A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85B183E"/>
    <w:multiLevelType w:val="multilevel"/>
    <w:tmpl w:val="52003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A240B92"/>
    <w:multiLevelType w:val="multilevel"/>
    <w:tmpl w:val="27927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4B0304A6"/>
    <w:multiLevelType w:val="multilevel"/>
    <w:tmpl w:val="E7C4F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06B60D2"/>
    <w:multiLevelType w:val="multilevel"/>
    <w:tmpl w:val="5936D8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54F4622B"/>
    <w:multiLevelType w:val="multilevel"/>
    <w:tmpl w:val="B3B80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90A1B6C"/>
    <w:multiLevelType w:val="multilevel"/>
    <w:tmpl w:val="7E9E1910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B20128F"/>
    <w:multiLevelType w:val="multilevel"/>
    <w:tmpl w:val="579E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B632E3B"/>
    <w:multiLevelType w:val="multilevel"/>
    <w:tmpl w:val="98B6F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BA64B85"/>
    <w:multiLevelType w:val="multilevel"/>
    <w:tmpl w:val="D99CEB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5BCC6494"/>
    <w:multiLevelType w:val="multilevel"/>
    <w:tmpl w:val="94FA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CE74F33"/>
    <w:multiLevelType w:val="multilevel"/>
    <w:tmpl w:val="487651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5F9772EE"/>
    <w:multiLevelType w:val="multilevel"/>
    <w:tmpl w:val="E1A64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03A490D"/>
    <w:multiLevelType w:val="multilevel"/>
    <w:tmpl w:val="8F6A4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08B7C6C"/>
    <w:multiLevelType w:val="multilevel"/>
    <w:tmpl w:val="FCE22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36C02A7"/>
    <w:multiLevelType w:val="multilevel"/>
    <w:tmpl w:val="D97CF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4C704CD"/>
    <w:multiLevelType w:val="multilevel"/>
    <w:tmpl w:val="A6FC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7322985"/>
    <w:multiLevelType w:val="multilevel"/>
    <w:tmpl w:val="2C925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8C75A7A"/>
    <w:multiLevelType w:val="multilevel"/>
    <w:tmpl w:val="7F541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9801B25"/>
    <w:multiLevelType w:val="multilevel"/>
    <w:tmpl w:val="01BCC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AB32F3D"/>
    <w:multiLevelType w:val="multilevel"/>
    <w:tmpl w:val="CFF80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B0322E6"/>
    <w:multiLevelType w:val="multilevel"/>
    <w:tmpl w:val="12DE4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6C2B6BC2"/>
    <w:multiLevelType w:val="multilevel"/>
    <w:tmpl w:val="6F848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6E091374"/>
    <w:multiLevelType w:val="multilevel"/>
    <w:tmpl w:val="DCBEF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1D53EBA"/>
    <w:multiLevelType w:val="multilevel"/>
    <w:tmpl w:val="4B72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CB165E1"/>
    <w:multiLevelType w:val="multilevel"/>
    <w:tmpl w:val="79E6F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EDB6807"/>
    <w:multiLevelType w:val="multilevel"/>
    <w:tmpl w:val="2054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F77415D"/>
    <w:multiLevelType w:val="multilevel"/>
    <w:tmpl w:val="79EA8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6"/>
  </w:num>
  <w:num w:numId="2">
    <w:abstractNumId w:val="33"/>
  </w:num>
  <w:num w:numId="3">
    <w:abstractNumId w:val="8"/>
  </w:num>
  <w:num w:numId="4">
    <w:abstractNumId w:val="21"/>
  </w:num>
  <w:num w:numId="5">
    <w:abstractNumId w:val="45"/>
  </w:num>
  <w:num w:numId="6">
    <w:abstractNumId w:val="39"/>
  </w:num>
  <w:num w:numId="7">
    <w:abstractNumId w:val="11"/>
  </w:num>
  <w:num w:numId="8">
    <w:abstractNumId w:val="0"/>
  </w:num>
  <w:num w:numId="9">
    <w:abstractNumId w:val="25"/>
  </w:num>
  <w:num w:numId="10">
    <w:abstractNumId w:val="41"/>
  </w:num>
  <w:num w:numId="11">
    <w:abstractNumId w:val="22"/>
  </w:num>
  <w:num w:numId="12">
    <w:abstractNumId w:val="6"/>
  </w:num>
  <w:num w:numId="13">
    <w:abstractNumId w:val="14"/>
  </w:num>
  <w:num w:numId="14">
    <w:abstractNumId w:val="32"/>
  </w:num>
  <w:num w:numId="15">
    <w:abstractNumId w:val="26"/>
  </w:num>
  <w:num w:numId="16">
    <w:abstractNumId w:val="27"/>
  </w:num>
  <w:num w:numId="17">
    <w:abstractNumId w:val="10"/>
  </w:num>
  <w:num w:numId="18">
    <w:abstractNumId w:val="23"/>
  </w:num>
  <w:num w:numId="19">
    <w:abstractNumId w:val="3"/>
  </w:num>
  <w:num w:numId="20">
    <w:abstractNumId w:val="30"/>
  </w:num>
  <w:num w:numId="21">
    <w:abstractNumId w:val="20"/>
  </w:num>
  <w:num w:numId="22">
    <w:abstractNumId w:val="28"/>
  </w:num>
  <w:num w:numId="23">
    <w:abstractNumId w:val="24"/>
  </w:num>
  <w:num w:numId="24">
    <w:abstractNumId w:val="2"/>
  </w:num>
  <w:num w:numId="25">
    <w:abstractNumId w:val="40"/>
  </w:num>
  <w:num w:numId="26">
    <w:abstractNumId w:val="9"/>
  </w:num>
  <w:num w:numId="27">
    <w:abstractNumId w:val="35"/>
  </w:num>
  <w:num w:numId="28">
    <w:abstractNumId w:val="13"/>
  </w:num>
  <w:num w:numId="29">
    <w:abstractNumId w:val="34"/>
  </w:num>
  <w:num w:numId="30">
    <w:abstractNumId w:val="7"/>
  </w:num>
  <w:num w:numId="31">
    <w:abstractNumId w:val="18"/>
  </w:num>
  <w:num w:numId="32">
    <w:abstractNumId w:val="19"/>
  </w:num>
  <w:num w:numId="33">
    <w:abstractNumId w:val="12"/>
  </w:num>
  <w:num w:numId="34">
    <w:abstractNumId w:val="31"/>
  </w:num>
  <w:num w:numId="35">
    <w:abstractNumId w:val="4"/>
  </w:num>
  <w:num w:numId="36">
    <w:abstractNumId w:val="48"/>
  </w:num>
  <w:num w:numId="37">
    <w:abstractNumId w:val="44"/>
  </w:num>
  <w:num w:numId="38">
    <w:abstractNumId w:val="17"/>
  </w:num>
  <w:num w:numId="39">
    <w:abstractNumId w:val="29"/>
  </w:num>
  <w:num w:numId="40">
    <w:abstractNumId w:val="42"/>
  </w:num>
  <w:num w:numId="41">
    <w:abstractNumId w:val="5"/>
  </w:num>
  <w:num w:numId="42">
    <w:abstractNumId w:val="16"/>
  </w:num>
  <w:num w:numId="43">
    <w:abstractNumId w:val="43"/>
  </w:num>
  <w:num w:numId="44">
    <w:abstractNumId w:val="15"/>
  </w:num>
  <w:num w:numId="45">
    <w:abstractNumId w:val="47"/>
  </w:num>
  <w:num w:numId="46">
    <w:abstractNumId w:val="38"/>
  </w:num>
  <w:num w:numId="47">
    <w:abstractNumId w:val="37"/>
  </w:num>
  <w:num w:numId="48">
    <w:abstractNumId w:val="1"/>
  </w:num>
  <w:num w:numId="49">
    <w:abstractNumId w:val="36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2418"/>
    <w:rsid w:val="000132D8"/>
    <w:rsid w:val="00061066"/>
    <w:rsid w:val="00114651"/>
    <w:rsid w:val="00207493"/>
    <w:rsid w:val="00221986"/>
    <w:rsid w:val="002268FE"/>
    <w:rsid w:val="002614B9"/>
    <w:rsid w:val="00281ED7"/>
    <w:rsid w:val="002B2418"/>
    <w:rsid w:val="00304F0E"/>
    <w:rsid w:val="00311A04"/>
    <w:rsid w:val="00326595"/>
    <w:rsid w:val="00327D7E"/>
    <w:rsid w:val="00335F1C"/>
    <w:rsid w:val="00335FF7"/>
    <w:rsid w:val="00351403"/>
    <w:rsid w:val="0038473A"/>
    <w:rsid w:val="003934F9"/>
    <w:rsid w:val="003A72A6"/>
    <w:rsid w:val="003D135A"/>
    <w:rsid w:val="003F0011"/>
    <w:rsid w:val="00405226"/>
    <w:rsid w:val="00467E37"/>
    <w:rsid w:val="0047427D"/>
    <w:rsid w:val="004B580E"/>
    <w:rsid w:val="00520620"/>
    <w:rsid w:val="00536559"/>
    <w:rsid w:val="00546396"/>
    <w:rsid w:val="00582563"/>
    <w:rsid w:val="0059134E"/>
    <w:rsid w:val="0064347F"/>
    <w:rsid w:val="00673D4D"/>
    <w:rsid w:val="0069358F"/>
    <w:rsid w:val="00693E2E"/>
    <w:rsid w:val="006B1F6B"/>
    <w:rsid w:val="00703A18"/>
    <w:rsid w:val="00707DF0"/>
    <w:rsid w:val="00751E8C"/>
    <w:rsid w:val="007B3EB0"/>
    <w:rsid w:val="007C4A0E"/>
    <w:rsid w:val="007E4ADC"/>
    <w:rsid w:val="007F7E9A"/>
    <w:rsid w:val="00800831"/>
    <w:rsid w:val="008164E3"/>
    <w:rsid w:val="00832E41"/>
    <w:rsid w:val="00861D0B"/>
    <w:rsid w:val="00871FC8"/>
    <w:rsid w:val="0087517A"/>
    <w:rsid w:val="00883F16"/>
    <w:rsid w:val="008D1B6E"/>
    <w:rsid w:val="008F4EE6"/>
    <w:rsid w:val="0092228A"/>
    <w:rsid w:val="0097671F"/>
    <w:rsid w:val="00976859"/>
    <w:rsid w:val="009874D8"/>
    <w:rsid w:val="009E242B"/>
    <w:rsid w:val="009F73AC"/>
    <w:rsid w:val="00A21A77"/>
    <w:rsid w:val="00A24D8F"/>
    <w:rsid w:val="00A31B11"/>
    <w:rsid w:val="00A323F0"/>
    <w:rsid w:val="00A377C6"/>
    <w:rsid w:val="00AE0F46"/>
    <w:rsid w:val="00AF652F"/>
    <w:rsid w:val="00B1669C"/>
    <w:rsid w:val="00B312BB"/>
    <w:rsid w:val="00B63ACC"/>
    <w:rsid w:val="00B67052"/>
    <w:rsid w:val="00B67EFB"/>
    <w:rsid w:val="00B75DE5"/>
    <w:rsid w:val="00B8067C"/>
    <w:rsid w:val="00B80AFA"/>
    <w:rsid w:val="00BA3845"/>
    <w:rsid w:val="00BB209B"/>
    <w:rsid w:val="00BB50E0"/>
    <w:rsid w:val="00C9490D"/>
    <w:rsid w:val="00CF5C39"/>
    <w:rsid w:val="00D222AA"/>
    <w:rsid w:val="00D65FB0"/>
    <w:rsid w:val="00D97121"/>
    <w:rsid w:val="00DB7E6F"/>
    <w:rsid w:val="00DC2B0F"/>
    <w:rsid w:val="00DC65BD"/>
    <w:rsid w:val="00DF138F"/>
    <w:rsid w:val="00E031AE"/>
    <w:rsid w:val="00E143F6"/>
    <w:rsid w:val="00E333F6"/>
    <w:rsid w:val="00E4178B"/>
    <w:rsid w:val="00EE1147"/>
    <w:rsid w:val="00EF323B"/>
    <w:rsid w:val="00F45DFA"/>
    <w:rsid w:val="00F46448"/>
    <w:rsid w:val="00F52C54"/>
    <w:rsid w:val="00F7564B"/>
    <w:rsid w:val="00FC24E6"/>
    <w:rsid w:val="00FE2FBD"/>
    <w:rsid w:val="00FF2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B241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Strong"/>
    <w:basedOn w:val="a0"/>
    <w:uiPriority w:val="22"/>
    <w:qFormat/>
    <w:rsid w:val="002B2418"/>
    <w:rPr>
      <w:b/>
      <w:bCs/>
    </w:rPr>
  </w:style>
  <w:style w:type="character" w:customStyle="1" w:styleId="inqyif">
    <w:name w:val="inqyif"/>
    <w:basedOn w:val="a0"/>
    <w:rsid w:val="002B2418"/>
  </w:style>
  <w:style w:type="paragraph" w:styleId="a5">
    <w:name w:val="List Paragraph"/>
    <w:basedOn w:val="a"/>
    <w:uiPriority w:val="34"/>
    <w:qFormat/>
    <w:rsid w:val="00335FF7"/>
    <w:pPr>
      <w:ind w:leftChars="200" w:left="480"/>
    </w:pPr>
  </w:style>
  <w:style w:type="character" w:styleId="a6">
    <w:name w:val="Hyperlink"/>
    <w:basedOn w:val="a0"/>
    <w:uiPriority w:val="99"/>
    <w:unhideWhenUsed/>
    <w:rsid w:val="00BA3845"/>
    <w:rPr>
      <w:color w:val="0000FF"/>
      <w:u w:val="single"/>
    </w:rPr>
  </w:style>
  <w:style w:type="character" w:styleId="a7">
    <w:name w:val="Emphasis"/>
    <w:basedOn w:val="a0"/>
    <w:uiPriority w:val="20"/>
    <w:qFormat/>
    <w:rsid w:val="00326595"/>
    <w:rPr>
      <w:i/>
      <w:iCs/>
    </w:rPr>
  </w:style>
  <w:style w:type="character" w:customStyle="1" w:styleId="yadgie">
    <w:name w:val="yadgie"/>
    <w:basedOn w:val="a0"/>
    <w:rsid w:val="00D9712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B241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Strong"/>
    <w:basedOn w:val="a0"/>
    <w:uiPriority w:val="22"/>
    <w:qFormat/>
    <w:rsid w:val="002B2418"/>
    <w:rPr>
      <w:b/>
      <w:bCs/>
    </w:rPr>
  </w:style>
  <w:style w:type="character" w:customStyle="1" w:styleId="inqyif">
    <w:name w:val="inqyif"/>
    <w:basedOn w:val="a0"/>
    <w:rsid w:val="002B2418"/>
  </w:style>
  <w:style w:type="paragraph" w:styleId="a5">
    <w:name w:val="List Paragraph"/>
    <w:basedOn w:val="a"/>
    <w:uiPriority w:val="34"/>
    <w:qFormat/>
    <w:rsid w:val="00335FF7"/>
    <w:pPr>
      <w:ind w:leftChars="200" w:left="480"/>
    </w:pPr>
  </w:style>
  <w:style w:type="character" w:styleId="a6">
    <w:name w:val="Hyperlink"/>
    <w:basedOn w:val="a0"/>
    <w:uiPriority w:val="99"/>
    <w:unhideWhenUsed/>
    <w:rsid w:val="00BA3845"/>
    <w:rPr>
      <w:color w:val="0000FF"/>
      <w:u w:val="single"/>
    </w:rPr>
  </w:style>
  <w:style w:type="character" w:styleId="a7">
    <w:name w:val="Emphasis"/>
    <w:basedOn w:val="a0"/>
    <w:uiPriority w:val="20"/>
    <w:qFormat/>
    <w:rsid w:val="00326595"/>
    <w:rPr>
      <w:i/>
      <w:iCs/>
    </w:rPr>
  </w:style>
  <w:style w:type="character" w:customStyle="1" w:styleId="yadgie">
    <w:name w:val="yadgie"/>
    <w:basedOn w:val="a0"/>
    <w:rsid w:val="00D971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02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69207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01231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8408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4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357192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7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16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8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04484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97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2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761289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35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06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4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6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35591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164624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33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7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9562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96634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78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26297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95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3933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15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55315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88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0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9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3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4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631151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78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73031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8172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02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8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6291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94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843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7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1816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18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4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2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2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63390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62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5513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9947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77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9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031424">
                  <w:marLeft w:val="0"/>
                  <w:marRight w:val="0"/>
                  <w:marTop w:val="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869849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90904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518578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03538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055211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118884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575514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0662782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972525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073036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053881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415950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4448808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910353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5824436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0872222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775763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9935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438497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257485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4067807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726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2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8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54632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37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4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4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6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0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6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64232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26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7914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85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28010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37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5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4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8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14633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83412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1355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86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3726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9093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35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46889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75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23245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53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5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6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11456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28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26134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14938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18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4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592241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16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36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2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88712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01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0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2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1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7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1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67B6C8-E535-42D9-8AD5-9D124720B9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253</Words>
  <Characters>1443</Characters>
  <Application>Microsoft Office Word</Application>
  <DocSecurity>0</DocSecurity>
  <Lines>12</Lines>
  <Paragraphs>3</Paragraphs>
  <ScaleCrop>false</ScaleCrop>
  <Company/>
  <LinksUpToDate>false</LinksUpToDate>
  <CharactersWithSpaces>1693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2026-08-05T00:48:00Z</dcterms:created>
  <dcterms:modified xsi:type="dcterms:W3CDTF">2026-08-05T00:55:00Z</dcterms:modified>
</cp:coreProperties>
</file>