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7E4ADC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韓</w:t>
      </w:r>
      <w:r w:rsidR="00221986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221986" w:rsidRPr="00327D7E" w:rsidRDefault="00B8067C" w:rsidP="00221986">
      <w:pPr>
        <w:jc w:val="center"/>
        <w:rPr>
          <w:sz w:val="20"/>
          <w:szCs w:val="20"/>
        </w:rPr>
      </w:pPr>
      <w:r>
        <w:t xml:space="preserve">KIPRIS </w:t>
      </w:r>
      <w:r w:rsidR="00221986" w:rsidRPr="00327D7E">
        <w:rPr>
          <w:rFonts w:hint="eastAsia"/>
          <w:sz w:val="20"/>
          <w:szCs w:val="20"/>
        </w:rPr>
        <w:t>網址：</w:t>
      </w:r>
      <w:r w:rsidRPr="00B8067C">
        <w:rPr>
          <w:sz w:val="20"/>
          <w:szCs w:val="20"/>
        </w:rPr>
        <w:t>http://www.kipris.or.kr/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利用自然法則之技術思想的高度創作（包含產品與方法）。</w:t>
                  </w:r>
                </w:p>
              </w:tc>
            </w:tr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審查新穎性，不審進步性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針對物品之形狀、構造或組合之技術創作（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排除「方法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製程」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雙軌制（一般全審查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特定品項部分審查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物品全部或部分在外形、圖案、色彩上，透過視覺引起美感的創作。</w:t>
                  </w:r>
                </w:p>
              </w:tc>
            </w:tr>
          </w:tbl>
          <w:p w:rsidR="00221986" w:rsidRPr="00327D7E" w:rsidRDefault="00221986" w:rsidP="007E4ADC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答辯期限放寬（最新制）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：根據實施的新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，實體審查階段官方審查意見書（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Office Action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）的答辯期，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由原先的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月直接延長為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4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。申請人最多仍可再申請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4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次、每次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月的延期，使總答辯時間最長可達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月，大幅減輕跨國申請人的時效壓力。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分割案亦可申請延緩審查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：過去只有「原始申請案」可以申請延緩審查（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Deferred Examination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）或延緩決定。新制全面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開放分割案（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Divisional Applications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）亦可比照辦理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，提供企業更靈活的商業防禦策略。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新型專利並非登記制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：韓國的新型專利（實用新案）自多年前修法後已取消快速登記制，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目前一律強制進行實體新穎性審查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才能獲證（但免除進步性要求）。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設計專利的部分審查（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Partial Examination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）加嚴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：韓國對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汰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換週期快的產品（如服飾、包裝、電子產品等）採取免審新穎性的「部分審查」以求快速發證。但最新法令堵住了漏洞，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若審查委員直接發現部分審查案明顯缺乏新穎性或與先前權利衝突，可以直接予以核駁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醫藥品專利期延長（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hard cap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：最新法規與美、日、中接軌，明定因政府藥品審查（監管延誤）而申請的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專利權期間延長（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），上限嚴格鎖定在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年內（自主管機關核准藥品上市日起算）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，且每一次藥品核准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僅限延長一項專利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221986" w:rsidRPr="00327D7E" w:rsidRDefault="007E4ADC" w:rsidP="007E4ADC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寬限期與提出期限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：韓國擁有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的新穎性寬限期（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新增「出口」為侵權實施行為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：這是近年修法最重大的突破。過去韓國《專利法》的實施定義僅限於生產、使用、轉讓、出租或進口。新法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正式將「出口（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Exporting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）」列為合法的專利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實施與侵權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類型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。專利權人現在可以直接針對單純將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「裝船出口海外」的行為申請禁令，並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將其計入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損害賠償額。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專責法院與技術審查官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：韓國的專利侵權民事訴訟一審由各地方特許專責法院審理，二審統一由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Patent Court of Korea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集中管轄。法院內部配有具備高科技背景的「技術審查官（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Technical Advisors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）」，在半導體、生技等複雜官司中扮演技術把關角色。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高額懲罰性損害賠償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：為嚴懲惡意抄襲，韓國法律規定，若判定為「故意侵權」，法院可判處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高達實際損害金額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5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的懲罰性損害賠償（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Punitive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（商標與設計已全面拉高至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5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倍）。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判定原則（等同原則與特許廳鑑定）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7E4ADC" w:rsidRPr="007E4ADC" w:rsidRDefault="007E4ADC" w:rsidP="00B67052">
            <w:pPr>
              <w:widowControl/>
              <w:numPr>
                <w:ilvl w:val="1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：韓國法院高度承認等同原則，若涉嫌侵權物與專利權利要求解決的技術問題相同、具備相同的作用效果，且該置換對該領域技術人員而言是顯而易見的，即構成侵權。</w:t>
            </w:r>
          </w:p>
          <w:p w:rsidR="007E4ADC" w:rsidRPr="007E4ADC" w:rsidRDefault="007E4ADC" w:rsidP="00B67052">
            <w:pPr>
              <w:widowControl/>
              <w:numPr>
                <w:ilvl w:val="1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專利對比與鑑定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：在訴訟進行中，原告或被告經常會向智慧財產審判和訴訟委員會（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IPTAB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）申請「權利範圍確認審判（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Scope Confirmation Proceedings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）」，由官方專家先就涉嫌侵權物是否落入專利範圍出具正式裁決，作為法院判決的重要依據。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違反保密命令刑責大幅提高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：配合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MOIP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的成立，針對涉及國防、核心戰略技術之發明，若違反政府的保密命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Secrecy Orders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）擅自前往海外申請專利或洩密，個人將面臨最高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年有期徒刑或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5,000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萬韓元罰金，企業亦面臨雙罰制，執法力度極強。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221986" w:rsidRPr="00327D7E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：專利侵權損害賠償請求權時效，為自權利人「知悉侵權行為及侵權人」之日起算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；或自侵權行為發生之日起算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  <w:bookmarkStart w:id="0" w:name="_GoBack"/>
      <w:bookmarkEnd w:id="0"/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62179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BC05E-B84E-419D-908D-F88E9C76C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2026-08-05T00:49:00Z</dcterms:created>
  <dcterms:modified xsi:type="dcterms:W3CDTF">2026-08-05T00:57:00Z</dcterms:modified>
</cp:coreProperties>
</file>