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6B1F6B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馬來西亞</w:t>
      </w:r>
      <w:r w:rsidR="00536559">
        <w:rPr>
          <w:rFonts w:hint="eastAsia"/>
          <w:sz w:val="20"/>
          <w:szCs w:val="20"/>
        </w:rPr>
        <w:t>專利</w:t>
      </w:r>
    </w:p>
    <w:p w:rsidR="00061066" w:rsidRPr="00327D7E" w:rsidRDefault="00FC24E6" w:rsidP="00061066">
      <w:pPr>
        <w:jc w:val="center"/>
        <w:rPr>
          <w:sz w:val="20"/>
          <w:szCs w:val="20"/>
        </w:rPr>
      </w:pPr>
      <w:proofErr w:type="spellStart"/>
      <w:r>
        <w:t>MyIPO</w:t>
      </w:r>
      <w:proofErr w:type="spellEnd"/>
      <w:r>
        <w:rPr>
          <w:rFonts w:hint="eastAsia"/>
        </w:rPr>
        <w:t xml:space="preserve"> </w:t>
      </w:r>
      <w:r w:rsidR="00061066" w:rsidRPr="00327D7E">
        <w:rPr>
          <w:rFonts w:hint="eastAsia"/>
          <w:sz w:val="20"/>
          <w:szCs w:val="20"/>
        </w:rPr>
        <w:t>網址：</w:t>
      </w:r>
      <w:r w:rsidRPr="00FC24E6">
        <w:rPr>
          <w:sz w:val="20"/>
          <w:szCs w:val="20"/>
        </w:rPr>
        <w:t>https://iponline2u.myipo.gov.my/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具備新穎性、進步性與產業利用性的技術產品或方法（製程）。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實用創新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（期滿可分兩次展延，每次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形式與個別實體審查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任何能用於產業的全新物品、改良或產品（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D97121" w:rsidRPr="00327D7E" w:rsidTr="00D97121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4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D97121" w:rsidRPr="00D97121" w:rsidRDefault="00D97121" w:rsidP="00D9712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D9712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透過工業程序應用於物品上的形狀、構造、圖案或裝飾等外觀特徵。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新制：全面引入核准後異議（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2025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年底啟用）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：根據最新生效的修正案，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任何利害關係人可在專利獲證公告後的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月內，向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註冊官提出「核准後異議（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Post-Grant Opposition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。這是重大的制度升級，讓第三方在進入法院前，有更低成本的管道直接行政撤銷瑕疵專利。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實用創新（新型）期限長、限制多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97121" w:rsidRPr="00D97121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與多數國家不同，馬來西亞的實用創新若持續有商業使用並繳納年費，最長可展延至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，年限與發明專利相同。</w:t>
            </w:r>
          </w:p>
          <w:p w:rsidR="00D97121" w:rsidRPr="00D97121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特別注意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：實用創新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只能保護實體「產品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物品」，絕對不保護「方法或製程」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，且每件申請案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只能包含「一項權利要求（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Single Claim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發明與實用創新的互換機制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：申請人在審查過程中或收到檢索報告後，若發現發明專利的進步性不足，可在規定期限內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申請將發明專利「轉換」為實用創新申請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（反之亦然）。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放寬公眾審查與第三方意見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：新修法擴大了專利申請案公開後的透明度，允許公眾更早查閱檢索與審查文件，並在專利核准前向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提交第三方意見（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Observations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）以阻擋其獲證。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的新穎性優惠期，但僅限於「因申請人或其前手的公開行為（如發表、展出）」或「因第三方濫用、惡意洩密」所導致的公開。</w:t>
            </w:r>
          </w:p>
          <w:p w:rsidR="00061066" w:rsidRPr="00327D7E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強制委體本地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：外國申請人若在馬來西亞沒有常住地址或主要營業場所，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必須強制委託馬來西亞當地的註冊專利代理人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事務。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智慧財產權專責法庭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：馬來西亞設有專門的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智慧財產權高等法院（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Specialised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IP High Court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，負責審理一審的專利侵權與民事無效訴訟，法官在處理複雜的技術比對與國際專利法律上具有高度專業。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判定原則（特別重視字面文義與全要件）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D97121" w:rsidRPr="00D97121" w:rsidRDefault="00D97121" w:rsidP="00B67052">
            <w:pPr>
              <w:widowControl/>
              <w:numPr>
                <w:ilvl w:val="0"/>
                <w:numId w:val="2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馬來西亞法院在判定侵權時，首要依據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，檢視涉嫌侵權產品是否完全落入專利權利要求（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）的邊界。</w:t>
            </w:r>
          </w:p>
          <w:p w:rsidR="00D97121" w:rsidRPr="00D97121" w:rsidRDefault="00D97121" w:rsidP="00B67052">
            <w:pPr>
              <w:widowControl/>
              <w:numPr>
                <w:ilvl w:val="0"/>
                <w:numId w:val="2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雖然馬來西亞司法判例承認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等同原則（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Doctrine of Equivalents / Pith and Marrow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，但法院的態度相對嚴謹，通常只有在被控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侵權物對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features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）進行了微小替代、且未改變發明實質運作方式時，才會判定等同侵權。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異議程序與民事訴訟的競合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：在新制下，若第三人欲向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MyIPO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提出行政異議，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前提必須是該專利尚未在高等法院展開任何相關訴訟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。一旦侵權官司已經開打，無效宣告就必須在法院以反訴（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Counterclaim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）形式提出。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行政執法分工（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突擊檢查）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：雖然專利損害賠償必須透過民事法院，但馬來西亞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國內貿易及生活消費部（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KPDN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）的執法局（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Enforcement Division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擁有刑事查緝權。在商標或工業設計侵權中，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的執法相當迅速；但對於複雜的「專利技術侵權」，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KPDN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通常較為被動，仍會要求權利人先取得高等法院的禁令或聲明。</w:t>
            </w:r>
          </w:p>
          <w:p w:rsidR="00D97121" w:rsidRPr="00D97121" w:rsidRDefault="00D97121" w:rsidP="00D9712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lastRenderedPageBreak/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非居民提起訴訟的擔保要求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：在外國專利權人打官司時，馬來西亞法院為了防止濫訴，經常會要求非本國居民的原告提供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訴訟費用擔保（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Security for costs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，以確保若原告敗訴時，有能力支付被告的法律費用。</w:t>
            </w:r>
          </w:p>
          <w:p w:rsidR="00061066" w:rsidRPr="00327D7E" w:rsidRDefault="00D97121" w:rsidP="00D97121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：專利侵權訴訟的追訴時效為自侵權行為發生之日起算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年，權利人將喪失提起訴訟或請求損害賠償的權利。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  <w:bookmarkStart w:id="0" w:name="_GoBack"/>
      <w:bookmarkEnd w:id="0"/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E2E34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92DB8-2C76-45BD-8EE8-ED09B351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2026-08-05T00:47:00Z</dcterms:created>
  <dcterms:modified xsi:type="dcterms:W3CDTF">2026-08-05T00:56:00Z</dcterms:modified>
</cp:coreProperties>
</file>