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6306675" w:rsidR="00C60C8C" w:rsidRPr="001A24A4" w:rsidRDefault="00906A67">
      <w:pPr>
        <w:rPr>
          <w:b/>
          <w:sz w:val="72"/>
        </w:rPr>
      </w:pPr>
      <w:r>
        <w:rPr>
          <w:b/>
          <w:sz w:val="72"/>
        </w:rPr>
        <w:t>Exercise 12</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bookmarkStart w:id="0" w:name="_GoBack"/>
      <w:bookmarkEnd w:id="0"/>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642738">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engine/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1569</Words>
  <Characters>8949</Characters>
  <Application>Microsoft Macintosh Word</Application>
  <DocSecurity>0</DocSecurity>
  <Lines>74</Lines>
  <Paragraphs>20</Paragraphs>
  <ScaleCrop>false</ScaleCrop>
  <Company>WSO2</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65</cp:revision>
  <cp:lastPrinted>2014-12-15T19:58:00Z</cp:lastPrinted>
  <dcterms:created xsi:type="dcterms:W3CDTF">2015-11-20T22:05:00Z</dcterms:created>
  <dcterms:modified xsi:type="dcterms:W3CDTF">2017-07-18T12:36:00Z</dcterms:modified>
</cp:coreProperties>
</file>