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w:t>
      </w:r>
    </w:p>
    <w:p>
      <w:r>
        <w:t>Số: 105/2021/NĐ-CP</w:t>
        <w:br/>
        <w:t>Ngày ban hành: 04/12/2021</w:t>
        <w:br/>
        <w:t>QUY ĐỊNH CHI TIẾT VÀ HƯỚNG DẪN THI HÀNH MỘT SỐ ĐIỀU CỦA LUẬT PHÒNG, CHỐNG MA TUÝ</w:t>
      </w:r>
    </w:p>
    <w:p>
      <w:r>
        <w:t>Căn cứ Luật Tổ chức Chính phủ ngày 19 tháng 6 năm 2015;</w:t>
        <w:br/>
        <w:t>Căn cứ Luật sửa đổi, bổ sung một số điều của Luật Tổ chức Chính phủ và Luật Tổ chức chính quyền địa phương ngày 22 tháng 11 năm 2019;</w:t>
        <w:br/>
        <w:t>Căn cứ Luật Phòng, chống ma tuý ngày 30 tháng 3 năm 2021;</w:t>
        <w:br/>
        <w:t>Theo đề nghị của Bộ trưởng Bộ Công an;</w:t>
        <w:br/>
        <w:t>Chính phủ ban hành Nghị định quy định chi tiết và hướng dẫn thi hành một số điều của Luật Phòng, chống ma tuý.</w:t>
      </w:r>
    </w:p>
    <w:p>
      <w:pPr>
        <w:pStyle w:val="Heading1"/>
      </w:pPr>
      <w:r>
        <w:t>Chương I. NHỮNG QUY ĐỊNH CHUNG</w:t>
      </w:r>
    </w:p>
    <w:p>
      <w:pPr>
        <w:pStyle w:val="Heading2"/>
      </w:pPr>
      <w:r>
        <w:t>Điều 1. Phạm vi điều chỉnh</w:t>
      </w:r>
    </w:p>
    <w:p>
      <w:r>
        <w:t>Nghị định này quy định chi tiết và hướng dẫn thi hành một số điều của Luật Phòng, chống ma tuý năm 2021 về:</w:t>
        <w:br/>
        <w:t>1. Danh mục chất ma tuý và tiền chất.</w:t>
        <w:br/>
        <w:t>2. Biện pháp quản lý người sử dụng trái phép chất ma tuý.</w:t>
        <w:br/>
        <w:t>3. Cai nghiện ma tuý tự nguyện tại gia đình, cộng đồng.</w:t>
        <w:br/>
        <w:t>4. Cai nghiện ma tuý bắt buộc.</w:t>
        <w:br/>
        <w:t>5. Tổ chức và hoạt động của cơ sở cai nghiện ma tuý.</w:t>
      </w:r>
    </w:p>
    <w:p>
      <w:pPr>
        <w:pStyle w:val="Heading1"/>
      </w:pPr>
      <w:r>
        <w:t>Chương II. DANH MỤC CHẤT MA TUÝ VÀ TIỀN CHẤT</w:t>
      </w:r>
    </w:p>
    <w:p>
      <w:pPr>
        <w:pStyle w:val="Heading2"/>
      </w:pPr>
      <w:r>
        <w:t>Điều 2. Danh mục chất ma tuý</w:t>
      </w:r>
    </w:p>
    <w:p>
      <w:r>
        <w:t>1. Danh mục I: Các chất ma tuý tuyệt đối cấm sử dụng trong y học và đời sống xã hội:</w:t>
        <w:br/>
        <w:t>a) Heroin (diacetylmorphine);</w:t>
        <w:br/>
        <w:t>b) Cocain;</w:t>
        <w:br/>
        <w:t>c) Methamphetamine (Metamfetamine);</w:t>
        <w:br/>
        <w:t>d) MDMA (3,4-methylenedioxymethamphetamine);</w:t>
        <w:br/>
        <w:t>đ) Fentanyl và các chất tương tự.</w:t>
        <w:br/>
        <w:t>2. Danh mục II: Các chất ma tuý được dùng hạn chế trong y học và đời sống xã hội:</w:t>
        <w:br/>
        <w:t>a) Morphine;</w:t>
        <w:br/>
        <w:t>b) Codeine;</w:t>
        <w:br/>
        <w:t>c) Oxycodone;</w:t>
        <w:br/>
        <w:t>d) Amphetamine.</w:t>
      </w:r>
    </w:p>
    <w:p>
      <w:pPr>
        <w:pStyle w:val="Heading1"/>
      </w:pPr>
      <w:r>
        <w:t>Chương III. QUẢN LÝ NGƯỜI SỬ DỤNG TRÁI PHÉP CHẤT MA TUÝ</w:t>
      </w:r>
    </w:p>
    <w:p>
      <w:pPr>
        <w:pStyle w:val="Heading2"/>
      </w:pPr>
      <w:r>
        <w:t>Điều 7. Xác định tình trạng nghiện ma tuý</w:t>
      </w:r>
    </w:p>
    <w:p>
      <w:r>
        <w:t>1. Tình trạng nghiện ma tuý được xác định dựa trên các tiêu chí lâm sàng và xét nghiệm sinh học theo quy định của Bộ Y tế.</w:t>
        <w:br/>
        <w:t>2. Cơ sở y tế có thẩm quyền xác định tình trạng nghiện ma tuý bao gồm:</w:t>
        <w:br/>
        <w:t>a) Cơ sở y tế cấp tỉnh và cấp huyện;</w:t>
        <w:br/>
        <w:t>b) Cơ sở cai nghiện ma tuý;</w:t>
        <w:br/>
        <w:t>c) Trung tâm y tế được Sở Y tế cấp phép.</w:t>
      </w:r>
    </w:p>
    <w:p>
      <w:pPr>
        <w:pStyle w:val="Heading2"/>
      </w:pPr>
      <w:r>
        <w:t>Điều 8. Biện pháp quản lý người sử dụng trái phép chất ma tuý</w:t>
      </w:r>
    </w:p>
    <w:p>
      <w:r>
        <w:t>1. Người sử dụng trái phép chất ma tuý lần đầu bị phát hiện phải ký cam kết không sử dụng ma tuý và tham gia chương trình tư vấn tại cơ sở y tế.</w:t>
        <w:br/>
        <w:t>2. Người sử dụng trái phép chất ma tuý từ lần thứ hai trở lên phải làm thủ tục đăng ký cai nghiện tự nguyện hoặc bị áp dụng biện pháp xử lý hành chính đưa vào cơ sở cai nghiện bắt buộc.</w:t>
        <w:br/>
        <w:t>3. Ủy ban nhân dân cấp xã có trách nhiệm:</w:t>
        <w:br/>
        <w:t>a) Thống kê, lập danh sách người nghiện ma tuý trên địa bàn;</w:t>
        <w:br/>
        <w:t>b) Theo dõi, quản lý người nghiện ma tuý;</w:t>
        <w:br/>
        <w:t>c) Phối hợp với cơ quan, tổ chức, gia đình người nghiện ma tuý trong việc vận động người nghiện ma tuý đăng ký và tham gia cai nghiện.</w:t>
      </w:r>
    </w:p>
    <w:p>
      <w:pPr>
        <w:pStyle w:val="Heading1"/>
      </w:pPr>
      <w:r>
        <w:t>Chương IV. CAI NGHIỆN MA TUÝ</w:t>
      </w:r>
    </w:p>
    <w:p>
      <w:pPr>
        <w:pStyle w:val="Heading2"/>
      </w:pPr>
      <w:r>
        <w:t>Điều 12. Cai nghiện ma tuý tự nguyện tại gia đình</w:t>
      </w:r>
    </w:p>
    <w:p>
      <w:r>
        <w:t>1. Người nghiện ma tuý hoặc gia đình người nghiện ma tuý đăng ký cai nghiện tự nguyện tại gia đình tại Ủy ban nhân dân cấp xã nơi người nghiện ma tuý cư trú.</w:t>
        <w:br/>
        <w:t>2. Hồ sơ đăng ký cai nghiện tự nguyện tại gia đình bao gồm:</w:t>
        <w:br/>
        <w:t>a) Đơn đăng ký cai nghiện ma tuý tự nguyện tại gia đình;</w:t>
        <w:br/>
        <w:t>b) Bản tự khai về quá trình sử dụng ma tuý;</w:t>
        <w:br/>
        <w:t>c) Kế hoạch cai nghiện tự nguyện tại gia đình.</w:t>
      </w:r>
    </w:p>
    <w:p>
      <w:pPr>
        <w:pStyle w:val="Heading2"/>
      </w:pPr>
      <w:r>
        <w:t>Điều 20. Cai nghiện ma tuý bắt buộc</w:t>
      </w:r>
    </w:p>
    <w:p>
      <w:r>
        <w:t>1. Người bị đưa vào cơ sở cai nghiện bắt buộc phải thực hiện đầy đủ chương trình cai nghiện ma tuý bắt buộc.</w:t>
        <w:br/>
        <w:t>2. Chương trình cai nghiện ma tuý bắt buộc bao gồm:</w:t>
        <w:br/>
        <w:t>a) Tiếp nhận và phân loại đối tượng;</w:t>
        <w:br/>
        <w:t>b) Điều trị cắt cơn, giải độc;</w:t>
        <w:br/>
        <w:t>c) Điều trị phục hồi sức khỏe;</w:t>
        <w:br/>
        <w:t>d) Giáo dục, tư vấn tâm lý, xã hội;</w:t>
        <w:br/>
        <w:t>đ) Học văn hóa, học nghề và lao động trị liệu;</w:t>
        <w:br/>
        <w:t>e) Chuẩn bị tái hòa nhập cộng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