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B771" w14:textId="77777777"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The authors have reasonably addressed my comments. The manuscript can be nearly accepted for publication before the following minor revisions could be made</w:t>
      </w:r>
      <w:r w:rsidR="00532F6F" w:rsidRPr="00532F6F">
        <w:rPr>
          <w:rFonts w:ascii="Times New Roman" w:hAnsi="Times New Roman" w:cs="Times New Roman"/>
          <w:color w:val="000000"/>
          <w:shd w:val="clear" w:color="auto" w:fill="FFFFFF"/>
          <w:lang w:val="en-US"/>
        </w:rPr>
        <w:t>:</w:t>
      </w:r>
    </w:p>
    <w:p w14:paraId="6AF198AD" w14:textId="4B724D80"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1. The authors may wish to refer and briefly discuss the coupling of CFD and DEM in the geomechanics setting for related simulations, e.g.:</w:t>
      </w:r>
    </w:p>
    <w:p w14:paraId="7C427C1A" w14:textId="517B0AAD" w:rsidR="00532F6F"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Zhao, J.D., Shan, T. (2013). Coupled CFD-DEM simulation of fluid-particle interaction in geomechanics. Powder Technology. 239, 248-258. doi: 10.1016/j.powtec.2013.02.003.</w:t>
      </w:r>
      <w:r w:rsidRPr="00532F6F">
        <w:rPr>
          <w:rFonts w:ascii="Times New Roman" w:hAnsi="Times New Roman" w:cs="Times New Roman"/>
          <w:color w:val="000000"/>
          <w:lang w:val="en-US"/>
        </w:rPr>
        <w:br/>
      </w:r>
      <w:r w:rsidRPr="00532F6F">
        <w:rPr>
          <w:rFonts w:ascii="Times New Roman" w:hAnsi="Times New Roman" w:cs="Times New Roman"/>
          <w:color w:val="000000"/>
          <w:shd w:val="clear" w:color="auto" w:fill="FFFFFF"/>
          <w:lang w:val="en-US"/>
        </w:rPr>
        <w:t>* Shan, T., Zhao, J.D. (2014). A coupled CFD-DEM analysis of granular flow impacting on water reservoir. Acta Mechanica. 225(8): 2449-2470. doi: 10.1007/s00707-014-1119-z</w:t>
      </w:r>
    </w:p>
    <w:p w14:paraId="2BE4F4A1" w14:textId="5B72E9C7"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We appreciate the reviewer's recommendation to discuss the coupling of Computational Fluid Dynamics (CFD) and Discrete Element Method (DEM) in the geomechanics context. This is indeed an interesting and relevant topic in our field. CFD, in combination with DEM, offers unique insights into fluid-particle interactions at the micro-scale, which is valuable for understanding granular behavior. We discuss it in the manuscript</w:t>
      </w:r>
      <w:r w:rsidR="000272A7">
        <w:rPr>
          <w:rFonts w:ascii="Times New Roman" w:hAnsi="Times New Roman" w:cs="Times New Roman"/>
          <w:color w:val="FF0000"/>
          <w:lang w:val="en-US"/>
        </w:rPr>
        <w:t xml:space="preserve"> and refer to those papers</w:t>
      </w:r>
      <w:r w:rsidRPr="00532F6F">
        <w:rPr>
          <w:rFonts w:ascii="Times New Roman" w:hAnsi="Times New Roman" w:cs="Times New Roman"/>
          <w:color w:val="FF0000"/>
          <w:lang w:val="en-US"/>
        </w:rPr>
        <w:t xml:space="preserve"> as below:</w:t>
      </w:r>
    </w:p>
    <w:p w14:paraId="09898FDF" w14:textId="58D3D01D"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t>
      </w:r>
      <w:r w:rsidR="000272A7" w:rsidRPr="000272A7">
        <w:rPr>
          <w:rFonts w:ascii="Times New Roman" w:hAnsi="Times New Roman" w:cs="Times New Roman"/>
          <w:color w:val="FF0000"/>
          <w:lang w:val="en-US"/>
        </w:rPr>
        <w:t>In such scenarios, Eulerian methods like FVM/CFD are preferred due to their computational efficiency, particularly when turbulence occurs at fine resolutions. CFD has even been employed in combination with the Discrete Element Method \cite{</w:t>
      </w:r>
      <w:r w:rsidR="000272A7">
        <w:rPr>
          <w:rFonts w:ascii="Times New Roman" w:hAnsi="Times New Roman" w:cs="Times New Roman"/>
          <w:color w:val="FF0000"/>
          <w:lang w:val="en-US"/>
        </w:rPr>
        <w:t>Zhao</w:t>
      </w:r>
      <w:r w:rsidR="000272A7" w:rsidRPr="000272A7">
        <w:rPr>
          <w:rFonts w:ascii="Times New Roman" w:hAnsi="Times New Roman" w:cs="Times New Roman"/>
          <w:color w:val="FF0000"/>
          <w:lang w:val="en-US"/>
        </w:rPr>
        <w:t xml:space="preserve">, </w:t>
      </w:r>
      <w:r w:rsidR="000272A7">
        <w:rPr>
          <w:rFonts w:ascii="Times New Roman" w:hAnsi="Times New Roman" w:cs="Times New Roman"/>
          <w:color w:val="FF0000"/>
          <w:lang w:val="en-US"/>
        </w:rPr>
        <w:t>Shan</w:t>
      </w:r>
      <w:r w:rsidR="000272A7" w:rsidRPr="000272A7">
        <w:rPr>
          <w:rFonts w:ascii="Times New Roman" w:hAnsi="Times New Roman" w:cs="Times New Roman"/>
          <w:color w:val="FF0000"/>
          <w:lang w:val="en-US"/>
        </w:rPr>
        <w:t>} to study granular grain - fluid interactions, allowing for the examination of micro-scale behavior and realistic grain morphology. However, the computational demands of Discrete Element Methods can be quite challenging when applied to practical scenarios. Therefore, an ideal approach might involve the integration of CFD with particle-based continuum methods.</w:t>
      </w:r>
      <w:r w:rsidR="000272A7">
        <w:rPr>
          <w:rFonts w:ascii="Times New Roman" w:hAnsi="Times New Roman" w:cs="Times New Roman"/>
          <w:color w:val="FF0000"/>
          <w:lang w:val="en-US"/>
        </w:rPr>
        <w:t>”</w:t>
      </w:r>
    </w:p>
    <w:p w14:paraId="3CB5695E" w14:textId="729AE061" w:rsidR="00532F6F" w:rsidRPr="00532F6F" w:rsidRDefault="001D7C0E" w:rsidP="000272A7">
      <w:pPr>
        <w:spacing w:after="120"/>
        <w:jc w:val="both"/>
        <w:rPr>
          <w:rFonts w:ascii="Times New Roman" w:hAnsi="Times New Roman" w:cs="Times New Roman"/>
          <w:color w:val="FF0000"/>
          <w:lang w:val="en-US"/>
        </w:rPr>
      </w:pPr>
      <w:r w:rsidRPr="00532F6F">
        <w:rPr>
          <w:rFonts w:ascii="Times New Roman" w:hAnsi="Times New Roman" w:cs="Times New Roman"/>
          <w:color w:val="000000"/>
          <w:shd w:val="clear" w:color="auto" w:fill="FFFFFF"/>
          <w:lang w:val="en-US"/>
        </w:rPr>
        <w:t>2. Line 465: please rephrase "To prevent repetition" - do you mean "To avoid (excessive) repetition".</w:t>
      </w:r>
      <w:r w:rsidRPr="00532F6F">
        <w:rPr>
          <w:rFonts w:ascii="Times New Roman" w:hAnsi="Times New Roman" w:cs="Times New Roman"/>
          <w:color w:val="000000"/>
          <w:lang w:val="en-US"/>
        </w:rPr>
        <w:br/>
      </w:r>
      <w:r w:rsidR="00532F6F" w:rsidRPr="00532F6F">
        <w:rPr>
          <w:rFonts w:ascii="Times New Roman" w:hAnsi="Times New Roman" w:cs="Times New Roman"/>
          <w:color w:val="FF0000"/>
          <w:lang w:val="en-US"/>
        </w:rPr>
        <w:t>For the rephrasing of "To prevent repetition," we edit the manuscript accordingly:</w:t>
      </w:r>
    </w:p>
    <w:p w14:paraId="6507ECF5" w14:textId="1D7D96F4" w:rsidR="00532F6F" w:rsidRPr="00532F6F" w:rsidRDefault="00532F6F" w:rsidP="000272A7">
      <w:pPr>
        <w:spacing w:after="120"/>
        <w:jc w:val="both"/>
        <w:rPr>
          <w:rFonts w:ascii="Times New Roman" w:hAnsi="Times New Roman" w:cs="Times New Roman"/>
          <w:color w:val="FF0000"/>
          <w:lang w:val="en-US"/>
        </w:rPr>
      </w:pPr>
      <w:r w:rsidRPr="00532F6F">
        <w:rPr>
          <w:rFonts w:ascii="Times New Roman" w:hAnsi="Times New Roman" w:cs="Times New Roman"/>
          <w:color w:val="FF0000"/>
          <w:lang w:val="en-US"/>
        </w:rPr>
        <w:t>"</w:t>
      </w:r>
      <w:r w:rsidRPr="00532F6F">
        <w:rPr>
          <w:rFonts w:ascii="Times New Roman" w:hAnsi="Times New Roman" w:cs="Times New Roman"/>
          <w:strike/>
          <w:color w:val="FF0000"/>
          <w:lang w:val="en-US"/>
        </w:rPr>
        <w:t>To prevent repition,</w:t>
      </w:r>
      <w:r>
        <w:rPr>
          <w:rFonts w:ascii="Times New Roman" w:hAnsi="Times New Roman" w:cs="Times New Roman"/>
          <w:color w:val="FF0000"/>
          <w:lang w:val="en-US"/>
        </w:rPr>
        <w:t xml:space="preserve"> </w:t>
      </w:r>
      <w:r w:rsidRPr="00532F6F">
        <w:rPr>
          <w:rFonts w:ascii="Times New Roman" w:hAnsi="Times New Roman" w:cs="Times New Roman"/>
          <w:color w:val="FF0000"/>
          <w:lang w:val="en-US"/>
        </w:rPr>
        <w:t>For all simulations,</w:t>
      </w:r>
      <w:r>
        <w:rPr>
          <w:rFonts w:ascii="Times New Roman" w:hAnsi="Times New Roman" w:cs="Times New Roman"/>
          <w:color w:val="FF0000"/>
          <w:lang w:val="en-US"/>
        </w:rPr>
        <w:t xml:space="preserve"> we </w:t>
      </w:r>
      <w:r w:rsidRPr="00532F6F">
        <w:rPr>
          <w:rFonts w:ascii="Times New Roman" w:hAnsi="Times New Roman" w:cs="Times New Roman"/>
          <w:color w:val="FF0000"/>
          <w:lang w:val="en-US"/>
        </w:rPr>
        <w:t>..."</w:t>
      </w:r>
    </w:p>
    <w:p w14:paraId="7AF04281" w14:textId="77777777"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3. In the numerical examples section, it is suggested to explicitly differentiate examples for validation (e.g., the first 4 example) with the rest.</w:t>
      </w:r>
    </w:p>
    <w:p w14:paraId="04B719E2" w14:textId="77777777" w:rsidR="00C815DF" w:rsidRDefault="00C815DF" w:rsidP="000272A7">
      <w:pPr>
        <w:spacing w:after="120"/>
        <w:jc w:val="both"/>
        <w:rPr>
          <w:rFonts w:ascii="Times New Roman" w:hAnsi="Times New Roman" w:cs="Times New Roman"/>
          <w:color w:val="FF0000"/>
          <w:lang w:val="en-US"/>
        </w:rPr>
      </w:pPr>
      <w:r w:rsidRPr="00C815DF">
        <w:rPr>
          <w:rFonts w:ascii="Times New Roman" w:hAnsi="Times New Roman" w:cs="Times New Roman"/>
          <w:color w:val="FF0000"/>
          <w:lang w:val="en-US"/>
        </w:rPr>
        <w:t xml:space="preserve">Thank you for this suggestion. We have taken it into consideration and have restructured the numerical examples section to </w:t>
      </w:r>
      <w:r>
        <w:rPr>
          <w:rFonts w:ascii="Times New Roman" w:hAnsi="Times New Roman" w:cs="Times New Roman"/>
          <w:color w:val="FF0000"/>
          <w:lang w:val="en-US"/>
        </w:rPr>
        <w:t xml:space="preserve">“numerical validation” and “numerical examples” to </w:t>
      </w:r>
      <w:r w:rsidRPr="00C815DF">
        <w:rPr>
          <w:rFonts w:ascii="Times New Roman" w:hAnsi="Times New Roman" w:cs="Times New Roman"/>
          <w:color w:val="FF0000"/>
          <w:lang w:val="en-US"/>
        </w:rPr>
        <w:t>clearly differentiate between examples used for validation and those for illustration</w:t>
      </w:r>
      <w:r>
        <w:rPr>
          <w:rFonts w:ascii="Times New Roman" w:hAnsi="Times New Roman" w:cs="Times New Roman"/>
          <w:color w:val="FF0000"/>
          <w:lang w:val="en-US"/>
        </w:rPr>
        <w:t>.</w:t>
      </w:r>
    </w:p>
    <w:p w14:paraId="6A3A1A6B" w14:textId="42174081"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4. The following two papers on thermo-mechanical coupling by MPM on granular flow modeling is relevant to the study and should be properly referred:</w:t>
      </w:r>
    </w:p>
    <w:p w14:paraId="7FFC5E84" w14:textId="521475D4" w:rsidR="00C815D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 Zhao S.W., Zhao J.D., Liang W.J., Niu F.J. (2022). Multiscale modeling of coupled thermo-mechanical behavior of granular media in large deformation and flow. Computers and Geotechnics. 149: 104855. doi: 10.1016/j.compgeo.2022.104855.</w:t>
      </w:r>
    </w:p>
    <w:p w14:paraId="736BF9B5" w14:textId="0FC2EF6F" w:rsidR="008C4869" w:rsidRPr="00532F6F" w:rsidRDefault="001D7C0E" w:rsidP="000272A7">
      <w:pPr>
        <w:spacing w:after="120"/>
        <w:jc w:val="both"/>
        <w:rPr>
          <w:rFonts w:ascii="Times New Roman" w:hAnsi="Times New Roman" w:cs="Times New Roman"/>
          <w:color w:val="000000"/>
          <w:shd w:val="clear" w:color="auto" w:fill="FFFFFF"/>
          <w:lang w:val="en-US"/>
        </w:rPr>
      </w:pPr>
      <w:r w:rsidRPr="00532F6F">
        <w:rPr>
          <w:rFonts w:ascii="Times New Roman" w:hAnsi="Times New Roman" w:cs="Times New Roman"/>
          <w:color w:val="000000"/>
          <w:shd w:val="clear" w:color="auto" w:fill="FFFFFF"/>
          <w:lang w:val="en-US"/>
        </w:rPr>
        <w:t>* Zhao S.W., Chen H., Zhao J.D. (2023). Multiscale modeling of freeze-thaw behavior in granular media. Acta Mechanica Sinica. 39: 722195. doi: 10.1007/s10409-022-22195-x.</w:t>
      </w:r>
    </w:p>
    <w:p w14:paraId="4AE2ECC3" w14:textId="0D5BB736" w:rsidR="000272A7" w:rsidRPr="000272A7" w:rsidRDefault="000272A7" w:rsidP="000272A7">
      <w:pPr>
        <w:spacing w:after="120"/>
        <w:jc w:val="both"/>
        <w:rPr>
          <w:rFonts w:ascii="Times New Roman" w:hAnsi="Times New Roman" w:cs="Times New Roman"/>
          <w:color w:val="FF0000"/>
          <w:lang w:val="en-US"/>
        </w:rPr>
      </w:pPr>
      <w:r w:rsidRPr="000272A7">
        <w:rPr>
          <w:rFonts w:ascii="Times New Roman" w:hAnsi="Times New Roman" w:cs="Times New Roman"/>
          <w:color w:val="FF0000"/>
          <w:lang w:val="en-US"/>
        </w:rPr>
        <w:t xml:space="preserve">Regarding your suggestion to refer to those papers, we have carefully considered their relevance to our current study. While we acknowledge the significance of this work for multiscale modeling in thermomechanical coupling by MPM, we believe that our paper already provides a comprehensive and up-to-date review of the relevant literature on the coupling of fluid flows and porous media for applications related to simulating submarine slope failure. </w:t>
      </w:r>
    </w:p>
    <w:p w14:paraId="1F3829C2" w14:textId="589675DE" w:rsidR="000272A7" w:rsidRPr="000272A7" w:rsidRDefault="000272A7" w:rsidP="000272A7">
      <w:pPr>
        <w:spacing w:after="120"/>
        <w:jc w:val="both"/>
        <w:rPr>
          <w:rFonts w:ascii="Times New Roman" w:hAnsi="Times New Roman" w:cs="Times New Roman"/>
          <w:color w:val="FF0000"/>
          <w:lang w:val="en-US"/>
        </w:rPr>
      </w:pPr>
      <w:r w:rsidRPr="000272A7">
        <w:rPr>
          <w:rFonts w:ascii="Times New Roman" w:hAnsi="Times New Roman" w:cs="Times New Roman"/>
          <w:color w:val="FF0000"/>
          <w:lang w:val="en-US"/>
        </w:rPr>
        <w:t xml:space="preserve">Our primary goal is to ensure that our citations enhance the clarity and context of our research. Upon reevaluation, we have found that </w:t>
      </w:r>
      <w:r>
        <w:rPr>
          <w:rFonts w:ascii="Times New Roman" w:hAnsi="Times New Roman" w:cs="Times New Roman"/>
          <w:color w:val="FF0000"/>
          <w:lang w:val="en-US"/>
        </w:rPr>
        <w:t>referring</w:t>
      </w:r>
      <w:r w:rsidRPr="000272A7">
        <w:rPr>
          <w:rFonts w:ascii="Times New Roman" w:hAnsi="Times New Roman" w:cs="Times New Roman"/>
          <w:color w:val="FF0000"/>
          <w:lang w:val="en-US"/>
        </w:rPr>
        <w:t xml:space="preserve"> </w:t>
      </w:r>
      <w:r>
        <w:rPr>
          <w:rFonts w:ascii="Times New Roman" w:hAnsi="Times New Roman" w:cs="Times New Roman"/>
          <w:color w:val="FF0000"/>
          <w:lang w:val="en-US"/>
        </w:rPr>
        <w:t xml:space="preserve">those </w:t>
      </w:r>
      <w:r w:rsidRPr="000272A7">
        <w:rPr>
          <w:rFonts w:ascii="Times New Roman" w:hAnsi="Times New Roman" w:cs="Times New Roman"/>
          <w:color w:val="FF0000"/>
          <w:lang w:val="en-US"/>
        </w:rPr>
        <w:t>paper</w:t>
      </w:r>
      <w:r>
        <w:rPr>
          <w:rFonts w:ascii="Times New Roman" w:hAnsi="Times New Roman" w:cs="Times New Roman"/>
          <w:color w:val="FF0000"/>
          <w:lang w:val="en-US"/>
        </w:rPr>
        <w:t>s</w:t>
      </w:r>
      <w:r w:rsidRPr="000272A7">
        <w:rPr>
          <w:rFonts w:ascii="Times New Roman" w:hAnsi="Times New Roman" w:cs="Times New Roman"/>
          <w:color w:val="FF0000"/>
          <w:lang w:val="en-US"/>
        </w:rPr>
        <w:t xml:space="preserve"> m</w:t>
      </w:r>
      <w:r>
        <w:rPr>
          <w:rFonts w:ascii="Times New Roman" w:hAnsi="Times New Roman" w:cs="Times New Roman"/>
          <w:color w:val="FF0000"/>
          <w:lang w:val="en-US"/>
        </w:rPr>
        <w:t>ight</w:t>
      </w:r>
      <w:r w:rsidRPr="000272A7">
        <w:rPr>
          <w:rFonts w:ascii="Times New Roman" w:hAnsi="Times New Roman" w:cs="Times New Roman"/>
          <w:color w:val="FF0000"/>
          <w:lang w:val="en-US"/>
        </w:rPr>
        <w:t xml:space="preserve"> not directly contribute to achieving this objective in our current manuscript. We hope you understand our decision in this regard.</w:t>
      </w:r>
    </w:p>
    <w:p w14:paraId="1CC33A06" w14:textId="3EF30D8D" w:rsidR="001D7C0E" w:rsidRPr="000272A7" w:rsidRDefault="000272A7" w:rsidP="000272A7">
      <w:pPr>
        <w:spacing w:after="120"/>
        <w:jc w:val="both"/>
        <w:rPr>
          <w:rFonts w:ascii="Times New Roman" w:hAnsi="Times New Roman" w:cs="Times New Roman"/>
          <w:color w:val="FF0000"/>
          <w:lang w:val="en-US"/>
        </w:rPr>
      </w:pPr>
      <w:r w:rsidRPr="000272A7">
        <w:rPr>
          <w:rFonts w:ascii="Times New Roman" w:hAnsi="Times New Roman" w:cs="Times New Roman"/>
          <w:color w:val="FF0000"/>
          <w:lang w:val="en-US"/>
        </w:rPr>
        <w:t>Overall, we want to express our gratitude for your thoughtful review of our paper and for providing valuable feedback. We truly appreciate your efforts in helping us improve the quality of our research.</w:t>
      </w:r>
    </w:p>
    <w:sectPr w:rsidR="001D7C0E" w:rsidRPr="00027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079E"/>
    <w:rsid w:val="000272A7"/>
    <w:rsid w:val="001D7C0E"/>
    <w:rsid w:val="002951EA"/>
    <w:rsid w:val="002B37A3"/>
    <w:rsid w:val="00532F6F"/>
    <w:rsid w:val="0057079E"/>
    <w:rsid w:val="00777A1B"/>
    <w:rsid w:val="008C4869"/>
    <w:rsid w:val="00C815DF"/>
    <w:rsid w:val="00FF35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248F"/>
  <w15:docId w15:val="{E04C3198-A54D-48E2-BBFA-92668C4A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5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3</cp:revision>
  <dcterms:created xsi:type="dcterms:W3CDTF">2023-09-23T10:01:00Z</dcterms:created>
  <dcterms:modified xsi:type="dcterms:W3CDTF">2023-09-24T03:59:00Z</dcterms:modified>
</cp:coreProperties>
</file>