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after="200"/>
        <w:jc w:val="center"/>
      </w:pPr>
      <w:r>
        <w:rPr>
          <w:rFonts w:ascii="Arial" w:hAnsi="Arial" w:eastAsia="Arial"/>
          <w:b/>
          <w:color w:val="1F4E79"/>
          <w:sz w:val="50"/>
        </w:rPr>
        <w:t>ĐỀ CƯƠNG ÔN THI CUỐI KỲ</w:t>
      </w:r>
    </w:p>
    <w:p>
      <w:pPr>
        <w:jc w:val="center"/>
      </w:pPr>
      <w:r>
        <w:rPr>
          <w:rFonts w:ascii="Arial" w:hAnsi="Arial" w:eastAsia="Arial"/>
          <w:b/>
          <w:color w:val="17365D"/>
          <w:sz w:val="44"/>
        </w:rPr>
        <w:t>PHÁP LUẬT ĐẠI CƯƠNG</w:t>
      </w:r>
    </w:p>
    <w:p>
      <w:pPr>
        <w:spacing w:before="160"/>
        <w:jc w:val="center"/>
      </w:pPr>
      <w:r>
        <w:rPr>
          <w:rFonts w:ascii="Arial" w:hAnsi="Arial" w:eastAsia="Arial"/>
          <w:i/>
          <w:color w:val="666666"/>
          <w:sz w:val="26"/>
        </w:rPr>
        <w:t>Đáp án đầy đủ 19 câu và hệ thống bài tập nâng cao – 2026</w:t>
      </w:r>
    </w:p>
    <w:p/>
    <w:tbl>
      <w:tblPr>
        <w:tblStyle w:val="TableGrid"/>
        <w:tblW w:type="dxa" w:w="9648"/>
        <w:jc w:val="center"/>
        <w:tblLayout w:type="fixed"/>
        <w:tblLook w:firstColumn="1" w:firstRow="1" w:lastColumn="0" w:lastRow="0" w:noHBand="0" w:noVBand="1" w:val="04A0"/>
        <w:tblInd w:w="120" w:type="dxa"/>
      </w:tblPr>
      <w:tblGrid>
        <w:gridCol w:w="1944"/>
        <w:gridCol w:w="7704"/>
      </w:tblGrid>
      <w:tr>
        <w:tc>
          <w:tcPr>
            <w:tcW w:type="dxa" w:w="1944"/>
            <w:shd w:fill="D9EAF7"/>
            <w:vAlign w:val="center"/>
            <w:tcMar>
              <w:top w:w="100" w:type="dxa"/>
              <w:start w:w="120" w:type="dxa"/>
              <w:bottom w:w="100" w:type="dxa"/>
              <w:end w:w="120" w:type="dxa"/>
            </w:tcMar>
          </w:tcPr>
          <w:p>
            <w:r>
              <w:rPr>
                <w:rFonts w:ascii="Arial" w:hAnsi="Arial" w:eastAsia="Arial"/>
                <w:b/>
                <w:color w:val="17365D"/>
                <w:sz w:val="20"/>
              </w:rPr>
              <w:t>Mục tiêu</w:t>
            </w:r>
          </w:p>
        </w:tc>
        <w:tc>
          <w:tcPr>
            <w:tcW w:type="dxa" w:w="7704"/>
            <w:vAlign w:val="center"/>
            <w:tcMar>
              <w:top w:w="100" w:type="dxa"/>
              <w:start w:w="120" w:type="dxa"/>
              <w:bottom w:w="100" w:type="dxa"/>
              <w:end w:w="120" w:type="dxa"/>
            </w:tcMar>
          </w:tcPr>
          <w:p>
            <w:r>
              <w:rPr>
                <w:rFonts w:ascii="Arial" w:hAnsi="Arial" w:eastAsia="Arial"/>
                <w:color w:val="222222"/>
                <w:sz w:val="20"/>
              </w:rPr>
              <w:t>Ôn tự luận, nhận diện vấn đề và giải bài tập tình huống</w:t>
            </w:r>
          </w:p>
        </w:tc>
      </w:tr>
      <w:tr>
        <w:tc>
          <w:tcPr>
            <w:tcW w:type="dxa" w:w="1944"/>
            <w:shd w:fill="D9EAF7"/>
            <w:vAlign w:val="center"/>
            <w:tcMar>
              <w:top w:w="100" w:type="dxa"/>
              <w:start w:w="120" w:type="dxa"/>
              <w:bottom w:w="100" w:type="dxa"/>
              <w:end w:w="120" w:type="dxa"/>
            </w:tcMar>
          </w:tcPr>
          <w:p>
            <w:r>
              <w:rPr>
                <w:rFonts w:ascii="Arial" w:hAnsi="Arial" w:eastAsia="Arial"/>
                <w:b/>
                <w:color w:val="17365D"/>
                <w:sz w:val="20"/>
              </w:rPr>
              <w:t>Cấu trúc</w:t>
            </w:r>
          </w:p>
        </w:tc>
        <w:tc>
          <w:tcPr>
            <w:tcW w:type="dxa" w:w="7704"/>
            <w:vAlign w:val="center"/>
            <w:tcMar>
              <w:top w:w="100" w:type="dxa"/>
              <w:start w:w="120" w:type="dxa"/>
              <w:bottom w:w="100" w:type="dxa"/>
              <w:end w:w="120" w:type="dxa"/>
            </w:tcMar>
          </w:tcPr>
          <w:p>
            <w:r>
              <w:rPr>
                <w:rFonts w:ascii="Arial" w:hAnsi="Arial" w:eastAsia="Arial"/>
                <w:color w:val="222222"/>
                <w:sz w:val="20"/>
              </w:rPr>
              <w:t>19 câu trả lời đầy đủ + bảng ghi nhớ + bài tập nhận diện và bài tập tổng hợp nâng cao</w:t>
            </w:r>
          </w:p>
        </w:tc>
      </w:tr>
      <w:tr>
        <w:tc>
          <w:tcPr>
            <w:tcW w:type="dxa" w:w="1944"/>
            <w:shd w:fill="D9EAF7"/>
            <w:vAlign w:val="center"/>
            <w:tcMar>
              <w:top w:w="100" w:type="dxa"/>
              <w:start w:w="120" w:type="dxa"/>
              <w:bottom w:w="100" w:type="dxa"/>
              <w:end w:w="120" w:type="dxa"/>
            </w:tcMar>
          </w:tcPr>
          <w:p>
            <w:r>
              <w:rPr>
                <w:rFonts w:ascii="Arial" w:hAnsi="Arial" w:eastAsia="Arial"/>
                <w:b/>
                <w:color w:val="17365D"/>
                <w:sz w:val="20"/>
              </w:rPr>
              <w:t>Căn cứ chính</w:t>
            </w:r>
          </w:p>
        </w:tc>
        <w:tc>
          <w:tcPr>
            <w:tcW w:type="dxa" w:w="7704"/>
            <w:vAlign w:val="center"/>
            <w:tcMar>
              <w:top w:w="100" w:type="dxa"/>
              <w:start w:w="120" w:type="dxa"/>
              <w:bottom w:w="100" w:type="dxa"/>
              <w:end w:w="120" w:type="dxa"/>
            </w:tcMar>
          </w:tcPr>
          <w:p>
            <w:r>
              <w:rPr>
                <w:rFonts w:ascii="Arial" w:hAnsi="Arial" w:eastAsia="Arial"/>
                <w:color w:val="222222"/>
                <w:sz w:val="20"/>
              </w:rPr>
              <w:t>Các văn bản pháp luật hiện hành được liệt kê trong tài liệu</w:t>
            </w:r>
          </w:p>
        </w:tc>
      </w:tr>
      <w:tr>
        <w:tc>
          <w:tcPr>
            <w:tcW w:type="dxa" w:w="1944"/>
            <w:shd w:fill="D9EAF7"/>
            <w:vAlign w:val="center"/>
            <w:tcMar>
              <w:top w:w="100" w:type="dxa"/>
              <w:start w:w="120" w:type="dxa"/>
              <w:bottom w:w="100" w:type="dxa"/>
              <w:end w:w="120" w:type="dxa"/>
            </w:tcMar>
          </w:tcPr>
          <w:p>
            <w:r>
              <w:rPr>
                <w:rFonts w:ascii="Arial" w:hAnsi="Arial" w:eastAsia="Arial"/>
                <w:b/>
                <w:color w:val="17365D"/>
                <w:sz w:val="20"/>
              </w:rPr>
              <w:t>Lưu ý</w:t>
            </w:r>
          </w:p>
        </w:tc>
        <w:tc>
          <w:tcPr>
            <w:tcW w:type="dxa" w:w="7704"/>
            <w:vAlign w:val="center"/>
            <w:tcMar>
              <w:top w:w="100" w:type="dxa"/>
              <w:start w:w="120" w:type="dxa"/>
              <w:bottom w:w="100" w:type="dxa"/>
              <w:end w:w="120" w:type="dxa"/>
            </w:tcMar>
          </w:tcPr>
          <w:p>
            <w:r>
              <w:rPr>
                <w:rFonts w:ascii="Arial" w:hAnsi="Arial" w:eastAsia="Arial"/>
                <w:color w:val="222222"/>
                <w:sz w:val="20"/>
              </w:rPr>
              <w:t>Đây là tài liệu học tập, không thay thế tư vấn pháp lý cho vụ việc thực tế</w:t>
            </w:r>
          </w:p>
        </w:tc>
      </w:tr>
    </w:tbl>
    <w:p>
      <w:pPr>
        <w:spacing w:before="360"/>
        <w:jc w:val="center"/>
      </w:pPr>
      <w:r>
        <w:rPr>
          <w:rFonts w:ascii="Arial" w:hAnsi="Arial" w:eastAsia="Arial"/>
          <w:i/>
          <w:color w:val="666666"/>
          <w:sz w:val="18"/>
        </w:rPr>
        <w:t>Biên soạn lại từ file tổng hợp của người học; đã loại bỏ hoặc đánh dấu các căn cứ hết hiệu lực.</w:t>
      </w:r>
      <w:r>
        <w:br w:type="page"/>
      </w:r>
    </w:p>
    <w:p>
      <w:pPr>
        <w:pStyle w:val="Heading1"/>
      </w:pPr>
      <w:r>
        <w:t>MỤC LỤC NỘI DUNG</w:t>
      </w:r>
    </w:p>
    <w:tbl>
      <w:tblPr>
        <w:tblStyle w:val="TableGrid"/>
        <w:tblW w:type="dxa" w:w="9648"/>
        <w:jc w:val="center"/>
        <w:tblLayout w:type="fixed"/>
        <w:tblLook w:firstColumn="1" w:firstRow="1" w:lastColumn="0" w:lastRow="0" w:noHBand="0" w:noVBand="1" w:val="04A0"/>
        <w:tblInd w:w="120" w:type="dxa"/>
      </w:tblPr>
      <w:tblGrid>
        <w:gridCol w:w="3672"/>
        <w:gridCol w:w="5976"/>
      </w:tblGrid>
      <w:tr>
        <w:trPr>
          <w:tblHeader w:val="true"/>
        </w:trPr>
        <w:tc>
          <w:tcPr>
            <w:tcW w:type="dxa" w:w="3672"/>
            <w:shd w:fill="1F4E79"/>
            <w:tcMar>
              <w:top w:w="100" w:type="dxa"/>
              <w:start w:w="120" w:type="dxa"/>
              <w:bottom w:w="100" w:type="dxa"/>
              <w:end w:w="120" w:type="dxa"/>
            </w:tcMar>
          </w:tcPr>
          <w:p>
            <w:r>
              <w:rPr>
                <w:rFonts w:ascii="Arial" w:hAnsi="Arial" w:eastAsia="Arial"/>
                <w:b/>
                <w:color w:val="FFFFFF"/>
                <w:sz w:val="20"/>
              </w:rPr>
              <w:t>Phần</w:t>
            </w:r>
          </w:p>
        </w:tc>
        <w:tc>
          <w:tcPr>
            <w:tcW w:type="dxa" w:w="5976"/>
            <w:shd w:fill="1F4E79"/>
            <w:tcMar>
              <w:top w:w="100" w:type="dxa"/>
              <w:start w:w="120" w:type="dxa"/>
              <w:bottom w:w="100" w:type="dxa"/>
              <w:end w:w="120" w:type="dxa"/>
            </w:tcMar>
          </w:tcPr>
          <w:p>
            <w:r>
              <w:rPr>
                <w:rFonts w:ascii="Arial" w:hAnsi="Arial" w:eastAsia="Arial"/>
                <w:b/>
                <w:color w:val="FFFFFF"/>
                <w:sz w:val="20"/>
              </w:rPr>
              <w:t>Nội dung</w:t>
            </w:r>
          </w:p>
        </w:tc>
      </w:tr>
      <w:tr>
        <w:tc>
          <w:tcPr>
            <w:tcW w:type="dxa" w:w="3672"/>
            <w:tcMar>
              <w:top w:w="100" w:type="dxa"/>
              <w:start w:w="120" w:type="dxa"/>
              <w:bottom w:w="100" w:type="dxa"/>
              <w:end w:w="120" w:type="dxa"/>
            </w:tcMar>
          </w:tcPr>
          <w:p>
            <w:r>
              <w:rPr>
                <w:rFonts w:ascii="Arial" w:hAnsi="Arial" w:eastAsia="Arial"/>
                <w:b/>
                <w:color w:val="17365D"/>
                <w:sz w:val="20"/>
              </w:rPr>
              <w:t>Hướng dẫn sử dụng và các điểm hiệu đính</w:t>
            </w:r>
          </w:p>
        </w:tc>
        <w:tc>
          <w:tcPr>
            <w:tcW w:type="dxa" w:w="5976"/>
            <w:tcMar>
              <w:top w:w="100" w:type="dxa"/>
              <w:start w:w="120" w:type="dxa"/>
              <w:bottom w:w="100" w:type="dxa"/>
              <w:end w:w="120" w:type="dxa"/>
            </w:tcMar>
          </w:tcPr>
          <w:p>
            <w:r>
              <w:rPr>
                <w:rFonts w:ascii="Arial" w:hAnsi="Arial" w:eastAsia="Arial"/>
                <w:color w:val="222222"/>
                <w:sz w:val="20"/>
              </w:rPr>
              <w:t>Cách học, văn bản nền tảng, nội dung đã thay thế</w:t>
            </w:r>
          </w:p>
        </w:tc>
      </w:tr>
      <w:tr>
        <w:tc>
          <w:tcPr>
            <w:tcW w:type="dxa" w:w="3672"/>
            <w:tcMar>
              <w:top w:w="100" w:type="dxa"/>
              <w:start w:w="120" w:type="dxa"/>
              <w:bottom w:w="100" w:type="dxa"/>
              <w:end w:w="120" w:type="dxa"/>
            </w:tcMar>
          </w:tcPr>
          <w:p>
            <w:r>
              <w:rPr>
                <w:rFonts w:ascii="Arial" w:hAnsi="Arial" w:eastAsia="Arial"/>
                <w:b/>
                <w:color w:val="17365D"/>
                <w:sz w:val="20"/>
              </w:rPr>
              <w:t>Phần I. Đáp án 19 câu lý thuyết</w:t>
            </w:r>
          </w:p>
        </w:tc>
        <w:tc>
          <w:tcPr>
            <w:tcW w:type="dxa" w:w="5976"/>
            <w:tcMar>
              <w:top w:w="100" w:type="dxa"/>
              <w:start w:w="120" w:type="dxa"/>
              <w:bottom w:w="100" w:type="dxa"/>
              <w:end w:w="120" w:type="dxa"/>
            </w:tcMar>
          </w:tcPr>
          <w:p>
            <w:r>
              <w:rPr>
                <w:rFonts w:ascii="Arial" w:hAnsi="Arial" w:eastAsia="Arial"/>
                <w:color w:val="222222"/>
                <w:sz w:val="20"/>
              </w:rPr>
              <w:t>Mỗi câu gồm khái niệm, phân tích, ví dụ, lưu ý và dàn ý</w:t>
            </w:r>
          </w:p>
        </w:tc>
      </w:tr>
      <w:tr>
        <w:tc>
          <w:tcPr>
            <w:tcW w:type="dxa" w:w="3672"/>
            <w:tcMar>
              <w:top w:w="100" w:type="dxa"/>
              <w:start w:w="120" w:type="dxa"/>
              <w:bottom w:w="100" w:type="dxa"/>
              <w:end w:w="120" w:type="dxa"/>
            </w:tcMar>
          </w:tcPr>
          <w:p>
            <w:r>
              <w:rPr>
                <w:rFonts w:ascii="Arial" w:hAnsi="Arial" w:eastAsia="Arial"/>
                <w:b/>
                <w:color w:val="17365D"/>
                <w:sz w:val="20"/>
              </w:rPr>
              <w:t>Phần II. Bảng ghi nhớ nhanh</w:t>
            </w:r>
          </w:p>
        </w:tc>
        <w:tc>
          <w:tcPr>
            <w:tcW w:type="dxa" w:w="5976"/>
            <w:tcMar>
              <w:top w:w="100" w:type="dxa"/>
              <w:start w:w="120" w:type="dxa"/>
              <w:bottom w:w="100" w:type="dxa"/>
              <w:end w:w="120" w:type="dxa"/>
            </w:tcMar>
          </w:tcPr>
          <w:p>
            <w:r>
              <w:rPr>
                <w:rFonts w:ascii="Arial" w:hAnsi="Arial" w:eastAsia="Arial"/>
                <w:color w:val="222222"/>
                <w:sz w:val="20"/>
              </w:rPr>
              <w:t>So sánh khái niệm và công thức giải bài</w:t>
            </w:r>
          </w:p>
        </w:tc>
      </w:tr>
      <w:tr>
        <w:tc>
          <w:tcPr>
            <w:tcW w:type="dxa" w:w="3672"/>
            <w:tcMar>
              <w:top w:w="100" w:type="dxa"/>
              <w:start w:w="120" w:type="dxa"/>
              <w:bottom w:w="100" w:type="dxa"/>
              <w:end w:w="120" w:type="dxa"/>
            </w:tcMar>
          </w:tcPr>
          <w:p>
            <w:r>
              <w:rPr>
                <w:rFonts w:ascii="Arial" w:hAnsi="Arial" w:eastAsia="Arial"/>
                <w:b/>
                <w:color w:val="17365D"/>
                <w:sz w:val="20"/>
              </w:rPr>
              <w:t>Phần III. Bài tập</w:t>
            </w:r>
          </w:p>
        </w:tc>
        <w:tc>
          <w:tcPr>
            <w:tcW w:type="dxa" w:w="5976"/>
            <w:tcMar>
              <w:top w:w="100" w:type="dxa"/>
              <w:start w:w="120" w:type="dxa"/>
              <w:bottom w:w="100" w:type="dxa"/>
              <w:end w:w="120" w:type="dxa"/>
            </w:tcMar>
          </w:tcPr>
          <w:p>
            <w:r>
              <w:rPr>
                <w:rFonts w:ascii="Arial" w:hAnsi="Arial" w:eastAsia="Arial"/>
                <w:color w:val="222222"/>
                <w:sz w:val="20"/>
              </w:rPr>
              <w:t>Bài nhận diện và các tình huống tổng hợp dài có lời giải</w:t>
            </w:r>
          </w:p>
        </w:tc>
      </w:tr>
      <w:tr>
        <w:tc>
          <w:tcPr>
            <w:tcW w:type="dxa" w:w="3672"/>
            <w:tcMar>
              <w:top w:w="100" w:type="dxa"/>
              <w:start w:w="120" w:type="dxa"/>
              <w:bottom w:w="100" w:type="dxa"/>
              <w:end w:w="120" w:type="dxa"/>
            </w:tcMar>
          </w:tcPr>
          <w:p>
            <w:r>
              <w:rPr>
                <w:rFonts w:ascii="Arial" w:hAnsi="Arial" w:eastAsia="Arial"/>
                <w:b/>
                <w:color w:val="17365D"/>
                <w:sz w:val="20"/>
              </w:rPr>
              <w:t>Phần IV. Checklist trước khi thi</w:t>
            </w:r>
          </w:p>
        </w:tc>
        <w:tc>
          <w:tcPr>
            <w:tcW w:type="dxa" w:w="5976"/>
            <w:tcMar>
              <w:top w:w="100" w:type="dxa"/>
              <w:start w:w="120" w:type="dxa"/>
              <w:bottom w:w="100" w:type="dxa"/>
              <w:end w:w="120" w:type="dxa"/>
            </w:tcMar>
          </w:tcPr>
          <w:p>
            <w:r>
              <w:rPr>
                <w:rFonts w:ascii="Arial" w:hAnsi="Arial" w:eastAsia="Arial"/>
                <w:color w:val="222222"/>
                <w:sz w:val="20"/>
              </w:rPr>
              <w:t>Kiểm tra kiến thức và khung trả lời tự luận</w:t>
            </w:r>
          </w:p>
        </w:tc>
      </w:tr>
    </w:tbl>
    <w:p>
      <w:pPr>
        <w:pStyle w:val="Heading2"/>
      </w:pPr>
      <w:r>
        <w:t>Danh sách 19 câu lý thuyết</w:t>
      </w:r>
    </w:p>
    <w:p>
      <w:pPr>
        <w:pStyle w:val="ListNumber"/>
        <w:spacing w:after="60"/>
      </w:pPr>
      <w:r>
        <w:rPr>
          <w:rFonts w:ascii="Arial" w:hAnsi="Arial" w:eastAsia="Arial"/>
          <w:color w:val="222222"/>
          <w:sz w:val="22"/>
        </w:rPr>
        <w:t>Câu 1: Nhà nước và bản chất Nhà nước</w:t>
      </w:r>
    </w:p>
    <w:p>
      <w:pPr>
        <w:pStyle w:val="ListNumber"/>
        <w:spacing w:after="60"/>
      </w:pPr>
      <w:r>
        <w:rPr>
          <w:rFonts w:ascii="Arial" w:hAnsi="Arial" w:eastAsia="Arial"/>
          <w:color w:val="222222"/>
          <w:sz w:val="22"/>
        </w:rPr>
        <w:t>Câu 2: Văn bản quy phạm pháp luật</w:t>
      </w:r>
    </w:p>
    <w:p>
      <w:pPr>
        <w:pStyle w:val="ListNumber"/>
        <w:spacing w:after="60"/>
      </w:pPr>
      <w:r>
        <w:rPr>
          <w:rFonts w:ascii="Arial" w:hAnsi="Arial" w:eastAsia="Arial"/>
          <w:color w:val="222222"/>
          <w:sz w:val="22"/>
        </w:rPr>
        <w:t>Câu 3: Nhà nước CHXHCN Việt Nam</w:t>
      </w:r>
    </w:p>
    <w:p>
      <w:pPr>
        <w:pStyle w:val="ListNumber"/>
        <w:spacing w:after="60"/>
      </w:pPr>
      <w:r>
        <w:rPr>
          <w:rFonts w:ascii="Arial" w:hAnsi="Arial" w:eastAsia="Arial"/>
          <w:color w:val="222222"/>
          <w:sz w:val="22"/>
        </w:rPr>
        <w:t>Câu 4: Nguyên tắc Luật Hình sự</w:t>
      </w:r>
    </w:p>
    <w:p>
      <w:pPr>
        <w:pStyle w:val="ListNumber"/>
        <w:spacing w:after="60"/>
      </w:pPr>
      <w:r>
        <w:rPr>
          <w:rFonts w:ascii="Arial" w:hAnsi="Arial" w:eastAsia="Arial"/>
          <w:color w:val="222222"/>
          <w:sz w:val="22"/>
        </w:rPr>
        <w:t>Câu 5: Quan hệ pháp luật</w:t>
      </w:r>
    </w:p>
    <w:p>
      <w:pPr>
        <w:pStyle w:val="ListNumber"/>
        <w:spacing w:after="60"/>
      </w:pPr>
      <w:r>
        <w:rPr>
          <w:rFonts w:ascii="Arial" w:hAnsi="Arial" w:eastAsia="Arial"/>
          <w:color w:val="222222"/>
          <w:sz w:val="22"/>
        </w:rPr>
        <w:t>Câu 6: Hình thức pháp luật</w:t>
      </w:r>
    </w:p>
    <w:p>
      <w:pPr>
        <w:pStyle w:val="ListNumber"/>
        <w:spacing w:after="60"/>
      </w:pPr>
      <w:r>
        <w:rPr>
          <w:rFonts w:ascii="Arial" w:hAnsi="Arial" w:eastAsia="Arial"/>
          <w:color w:val="222222"/>
          <w:sz w:val="22"/>
        </w:rPr>
        <w:t>Câu 7: Luật Dân sự</w:t>
      </w:r>
    </w:p>
    <w:p>
      <w:pPr>
        <w:pStyle w:val="ListNumber"/>
        <w:spacing w:after="60"/>
      </w:pPr>
      <w:r>
        <w:rPr>
          <w:rFonts w:ascii="Arial" w:hAnsi="Arial" w:eastAsia="Arial"/>
          <w:color w:val="222222"/>
          <w:sz w:val="22"/>
        </w:rPr>
        <w:t>Câu 8: Quy phạm pháp luật</w:t>
      </w:r>
    </w:p>
    <w:p>
      <w:pPr>
        <w:pStyle w:val="ListNumber"/>
        <w:spacing w:after="60"/>
      </w:pPr>
      <w:r>
        <w:rPr>
          <w:rFonts w:ascii="Arial" w:hAnsi="Arial" w:eastAsia="Arial"/>
          <w:color w:val="222222"/>
          <w:sz w:val="22"/>
        </w:rPr>
        <w:t>Câu 9: Quyền sở hữu</w:t>
      </w:r>
    </w:p>
    <w:p>
      <w:pPr>
        <w:pStyle w:val="ListNumber"/>
        <w:spacing w:after="60"/>
      </w:pPr>
      <w:r>
        <w:rPr>
          <w:rFonts w:ascii="Arial" w:hAnsi="Arial" w:eastAsia="Arial"/>
          <w:color w:val="222222"/>
          <w:sz w:val="22"/>
        </w:rPr>
        <w:t>Câu 10: Vi phạm pháp luật</w:t>
      </w:r>
    </w:p>
    <w:p>
      <w:pPr>
        <w:pStyle w:val="ListNumber"/>
        <w:spacing w:after="60"/>
      </w:pPr>
      <w:r>
        <w:rPr>
          <w:rFonts w:ascii="Arial" w:hAnsi="Arial" w:eastAsia="Arial"/>
          <w:color w:val="222222"/>
          <w:sz w:val="22"/>
        </w:rPr>
        <w:t>Câu 11: Thừa kế theo di chúc</w:t>
      </w:r>
    </w:p>
    <w:p>
      <w:pPr>
        <w:pStyle w:val="ListNumber"/>
        <w:spacing w:after="60"/>
      </w:pPr>
      <w:r>
        <w:rPr>
          <w:rFonts w:ascii="Arial" w:hAnsi="Arial" w:eastAsia="Arial"/>
          <w:color w:val="222222"/>
          <w:sz w:val="22"/>
        </w:rPr>
        <w:t>Câu 12: Luật Lao động</w:t>
      </w:r>
    </w:p>
    <w:p>
      <w:pPr>
        <w:pStyle w:val="ListNumber"/>
        <w:spacing w:after="60"/>
      </w:pPr>
      <w:r>
        <w:rPr>
          <w:rFonts w:ascii="Arial" w:hAnsi="Arial" w:eastAsia="Arial"/>
          <w:color w:val="222222"/>
          <w:sz w:val="22"/>
        </w:rPr>
        <w:t>Câu 13: Hợp đồng lao động</w:t>
      </w:r>
    </w:p>
    <w:p>
      <w:pPr>
        <w:pStyle w:val="ListNumber"/>
        <w:spacing w:after="60"/>
      </w:pPr>
      <w:r>
        <w:rPr>
          <w:rFonts w:ascii="Arial" w:hAnsi="Arial" w:eastAsia="Arial"/>
          <w:color w:val="222222"/>
          <w:sz w:val="22"/>
        </w:rPr>
        <w:t>Câu 14: Tranh chấp lao động</w:t>
      </w:r>
    </w:p>
    <w:p>
      <w:pPr>
        <w:pStyle w:val="ListNumber"/>
        <w:spacing w:after="60"/>
      </w:pPr>
      <w:r>
        <w:rPr>
          <w:rFonts w:ascii="Arial" w:hAnsi="Arial" w:eastAsia="Arial"/>
          <w:color w:val="222222"/>
          <w:sz w:val="22"/>
        </w:rPr>
        <w:t>Câu 15: Luật Hành chính</w:t>
      </w:r>
    </w:p>
    <w:p>
      <w:pPr>
        <w:pStyle w:val="ListNumber"/>
        <w:spacing w:after="60"/>
      </w:pPr>
      <w:r>
        <w:rPr>
          <w:rFonts w:ascii="Arial" w:hAnsi="Arial" w:eastAsia="Arial"/>
          <w:color w:val="222222"/>
          <w:sz w:val="22"/>
        </w:rPr>
        <w:t>Câu 16: Tội phạm</w:t>
      </w:r>
    </w:p>
    <w:p>
      <w:pPr>
        <w:pStyle w:val="ListNumber"/>
        <w:spacing w:after="60"/>
      </w:pPr>
      <w:r>
        <w:rPr>
          <w:rFonts w:ascii="Arial" w:hAnsi="Arial" w:eastAsia="Arial"/>
          <w:color w:val="222222"/>
          <w:sz w:val="22"/>
        </w:rPr>
        <w:t>Câu 17: Tố cáo</w:t>
      </w:r>
    </w:p>
    <w:p>
      <w:pPr>
        <w:pStyle w:val="ListNumber"/>
        <w:spacing w:after="60"/>
      </w:pPr>
      <w:r>
        <w:rPr>
          <w:rFonts w:ascii="Arial" w:hAnsi="Arial" w:eastAsia="Arial"/>
          <w:color w:val="222222"/>
          <w:sz w:val="22"/>
        </w:rPr>
        <w:t>Câu 18: Luật Hôn nhân và gia đình</w:t>
      </w:r>
    </w:p>
    <w:p>
      <w:pPr>
        <w:pStyle w:val="ListNumber"/>
        <w:spacing w:after="60"/>
      </w:pPr>
      <w:r>
        <w:rPr>
          <w:rFonts w:ascii="Arial" w:hAnsi="Arial" w:eastAsia="Arial"/>
          <w:color w:val="222222"/>
          <w:sz w:val="22"/>
        </w:rPr>
        <w:t>Câu 19: Hiến pháp năm 2013 và cập nhật 2025</w:t>
      </w:r>
    </w:p>
    <w:p>
      <w:r>
        <w:br w:type="page"/>
      </w:r>
    </w:p>
    <w:p>
      <w:pPr>
        <w:pStyle w:val="Heading1"/>
      </w:pPr>
      <w:r>
        <w:t>HƯỚNG DẪN SỬ DỤNG</w:t>
      </w:r>
    </w:p>
    <w:p>
      <w:pPr>
        <w:pStyle w:val="ListBullet"/>
        <w:spacing w:after="60"/>
      </w:pPr>
      <w:r>
        <w:rPr>
          <w:rFonts w:ascii="Arial" w:hAnsi="Arial" w:eastAsia="Arial"/>
          <w:color w:val="222222"/>
          <w:sz w:val="22"/>
        </w:rPr>
        <w:t>Học theo cấu trúc: khái niệm → đặc điểm/nguyên tắc → phân loại/nội dung → ví dụ → kết luận.</w:t>
      </w:r>
    </w:p>
    <w:p>
      <w:pPr>
        <w:pStyle w:val="ListBullet"/>
        <w:spacing w:after="60"/>
      </w:pPr>
      <w:r>
        <w:rPr>
          <w:rFonts w:ascii="Arial" w:hAnsi="Arial" w:eastAsia="Arial"/>
          <w:color w:val="222222"/>
          <w:sz w:val="22"/>
        </w:rPr>
        <w:t>Khi làm bài tình huống, không suy đoán dữ kiện. Nêu giả định nếu đề bài chưa cho đủ thông tin.</w:t>
      </w:r>
    </w:p>
    <w:p>
      <w:pPr>
        <w:pStyle w:val="ListBullet"/>
        <w:spacing w:after="60"/>
      </w:pPr>
      <w:r>
        <w:rPr>
          <w:rFonts w:ascii="Arial" w:hAnsi="Arial" w:eastAsia="Arial"/>
          <w:color w:val="222222"/>
          <w:sz w:val="22"/>
        </w:rPr>
        <w:t>Nếu đề thi yêu cầu theo giáo trình của trường, ưu tiên thuật ngữ và phạm vi do giảng viên đã dạy.</w:t>
      </w:r>
    </w:p>
    <w:p>
      <w:pPr>
        <w:pStyle w:val="ListBullet"/>
        <w:spacing w:after="60"/>
      </w:pPr>
      <w:r>
        <w:rPr>
          <w:rFonts w:ascii="Arial" w:hAnsi="Arial" w:eastAsia="Arial"/>
          <w:color w:val="222222"/>
          <w:sz w:val="22"/>
        </w:rPr>
        <w:t>Không học thuộc các điều luật đã hết hiệu lực trong bản tổng hợp cũ.</w:t>
      </w:r>
    </w:p>
    <w:p>
      <w:pPr>
        <w:pStyle w:val="Heading1"/>
      </w:pPr>
      <w:r>
        <w:t>NHỮNG ĐIỂM ĐÃ HIỆU ĐÍNH SO VỚI FILE CŨ</w:t>
      </w:r>
    </w:p>
    <w:tbl>
      <w:tblPr>
        <w:tblStyle w:val="TableGrid"/>
        <w:tblW w:type="dxa" w:w="9648"/>
        <w:jc w:val="center"/>
        <w:tblLayout w:type="fixed"/>
        <w:tblLook w:firstColumn="1" w:firstRow="1" w:lastColumn="0" w:lastRow="0" w:noHBand="0" w:noVBand="1" w:val="04A0"/>
        <w:tblInd w:w="120" w:type="dxa"/>
      </w:tblPr>
      <w:tblGrid>
        <w:gridCol w:w="2952"/>
        <w:gridCol w:w="6696"/>
      </w:tblGrid>
      <w:tr>
        <w:trPr>
          <w:tblHeader w:val="true"/>
        </w:trPr>
        <w:tc>
          <w:tcPr>
            <w:tcW w:type="dxa" w:w="2952"/>
            <w:shd w:fill="1F4E79"/>
            <w:tcMar>
              <w:top w:w="100" w:type="dxa"/>
              <w:start w:w="120" w:type="dxa"/>
              <w:bottom w:w="100" w:type="dxa"/>
              <w:end w:w="120" w:type="dxa"/>
            </w:tcMar>
          </w:tcPr>
          <w:p>
            <w:r>
              <w:rPr>
                <w:rFonts w:ascii="Arial" w:hAnsi="Arial" w:eastAsia="Arial"/>
                <w:b/>
                <w:color w:val="FFFFFF"/>
                <w:sz w:val="20"/>
              </w:rPr>
              <w:t>Nội dung cũ</w:t>
            </w:r>
          </w:p>
        </w:tc>
        <w:tc>
          <w:tcPr>
            <w:tcW w:type="dxa" w:w="6696"/>
            <w:shd w:fill="1F4E79"/>
            <w:tcMar>
              <w:top w:w="100" w:type="dxa"/>
              <w:start w:w="120" w:type="dxa"/>
              <w:bottom w:w="100" w:type="dxa"/>
              <w:end w:w="120" w:type="dxa"/>
            </w:tcMar>
          </w:tcPr>
          <w:p>
            <w:r>
              <w:rPr>
                <w:rFonts w:ascii="Arial" w:hAnsi="Arial" w:eastAsia="Arial"/>
                <w:b/>
                <w:color w:val="FFFFFF"/>
                <w:sz w:val="20"/>
              </w:rPr>
              <w:t>Hướng sử dụng hiện nay</w:t>
            </w:r>
          </w:p>
        </w:tc>
      </w:tr>
      <w:tr>
        <w:tc>
          <w:tcPr>
            <w:tcW w:type="dxa" w:w="2952"/>
            <w:tcMar>
              <w:top w:w="100" w:type="dxa"/>
              <w:start w:w="120" w:type="dxa"/>
              <w:bottom w:w="100" w:type="dxa"/>
              <w:end w:w="120" w:type="dxa"/>
            </w:tcMar>
          </w:tcPr>
          <w:p>
            <w:r>
              <w:rPr>
                <w:rFonts w:ascii="Arial" w:hAnsi="Arial" w:eastAsia="Arial"/>
                <w:color w:val="222222"/>
                <w:sz w:val="20"/>
              </w:rPr>
              <w:t>BLDS 2005</w:t>
            </w:r>
          </w:p>
        </w:tc>
        <w:tc>
          <w:tcPr>
            <w:tcW w:type="dxa" w:w="6696"/>
            <w:tcMar>
              <w:top w:w="100" w:type="dxa"/>
              <w:start w:w="120" w:type="dxa"/>
              <w:bottom w:w="100" w:type="dxa"/>
              <w:end w:w="120" w:type="dxa"/>
            </w:tcMar>
          </w:tcPr>
          <w:p>
            <w:r>
              <w:rPr>
                <w:rFonts w:ascii="Arial" w:hAnsi="Arial" w:eastAsia="Arial"/>
                <w:color w:val="222222"/>
                <w:sz w:val="20"/>
              </w:rPr>
              <w:t>Dùng Bộ luật Dân sự 2015.</w:t>
            </w:r>
          </w:p>
        </w:tc>
      </w:tr>
      <w:tr>
        <w:tc>
          <w:tcPr>
            <w:tcW w:type="dxa" w:w="2952"/>
            <w:tcMar>
              <w:top w:w="100" w:type="dxa"/>
              <w:start w:w="120" w:type="dxa"/>
              <w:bottom w:w="100" w:type="dxa"/>
              <w:end w:w="120" w:type="dxa"/>
            </w:tcMar>
          </w:tcPr>
          <w:p>
            <w:r>
              <w:rPr>
                <w:rFonts w:ascii="Arial" w:hAnsi="Arial" w:eastAsia="Arial"/>
                <w:color w:val="222222"/>
                <w:sz w:val="20"/>
              </w:rPr>
              <w:t>BLHS 1999</w:t>
            </w:r>
          </w:p>
        </w:tc>
        <w:tc>
          <w:tcPr>
            <w:tcW w:type="dxa" w:w="6696"/>
            <w:tcMar>
              <w:top w:w="100" w:type="dxa"/>
              <w:start w:w="120" w:type="dxa"/>
              <w:bottom w:w="100" w:type="dxa"/>
              <w:end w:w="120" w:type="dxa"/>
            </w:tcMar>
          </w:tcPr>
          <w:p>
            <w:r>
              <w:rPr>
                <w:rFonts w:ascii="Arial" w:hAnsi="Arial" w:eastAsia="Arial"/>
                <w:color w:val="222222"/>
                <w:sz w:val="20"/>
              </w:rPr>
              <w:t>Dùng BLHS 2015, sửa đổi 2017 và các sửa đổi có hiệu lực hiện hành.</w:t>
            </w:r>
          </w:p>
        </w:tc>
      </w:tr>
      <w:tr>
        <w:tc>
          <w:tcPr>
            <w:tcW w:type="dxa" w:w="2952"/>
            <w:tcMar>
              <w:top w:w="100" w:type="dxa"/>
              <w:start w:w="120" w:type="dxa"/>
              <w:bottom w:w="100" w:type="dxa"/>
              <w:end w:w="120" w:type="dxa"/>
            </w:tcMar>
          </w:tcPr>
          <w:p>
            <w:r>
              <w:rPr>
                <w:rFonts w:ascii="Arial" w:hAnsi="Arial" w:eastAsia="Arial"/>
                <w:color w:val="222222"/>
                <w:sz w:val="20"/>
              </w:rPr>
              <w:t>Luật HN&amp;GĐ 2000</w:t>
            </w:r>
          </w:p>
        </w:tc>
        <w:tc>
          <w:tcPr>
            <w:tcW w:type="dxa" w:w="6696"/>
            <w:tcMar>
              <w:top w:w="100" w:type="dxa"/>
              <w:start w:w="120" w:type="dxa"/>
              <w:bottom w:w="100" w:type="dxa"/>
              <w:end w:w="120" w:type="dxa"/>
            </w:tcMar>
          </w:tcPr>
          <w:p>
            <w:r>
              <w:rPr>
                <w:rFonts w:ascii="Arial" w:hAnsi="Arial" w:eastAsia="Arial"/>
                <w:color w:val="222222"/>
                <w:sz w:val="20"/>
              </w:rPr>
              <w:t>Dùng Luật Hôn nhân và gia đình 2014.</w:t>
            </w:r>
          </w:p>
        </w:tc>
      </w:tr>
      <w:tr>
        <w:tc>
          <w:tcPr>
            <w:tcW w:type="dxa" w:w="2952"/>
            <w:tcMar>
              <w:top w:w="100" w:type="dxa"/>
              <w:start w:w="120" w:type="dxa"/>
              <w:bottom w:w="100" w:type="dxa"/>
              <w:end w:w="120" w:type="dxa"/>
            </w:tcMar>
          </w:tcPr>
          <w:p>
            <w:r>
              <w:rPr>
                <w:rFonts w:ascii="Arial" w:hAnsi="Arial" w:eastAsia="Arial"/>
                <w:color w:val="222222"/>
                <w:sz w:val="20"/>
              </w:rPr>
              <w:t>Luật Khiếu nại, tố cáo cũ</w:t>
            </w:r>
          </w:p>
        </w:tc>
        <w:tc>
          <w:tcPr>
            <w:tcW w:type="dxa" w:w="6696"/>
            <w:tcMar>
              <w:top w:w="100" w:type="dxa"/>
              <w:start w:w="120" w:type="dxa"/>
              <w:bottom w:w="100" w:type="dxa"/>
              <w:end w:w="120" w:type="dxa"/>
            </w:tcMar>
          </w:tcPr>
          <w:p>
            <w:r>
              <w:rPr>
                <w:rFonts w:ascii="Arial" w:hAnsi="Arial" w:eastAsia="Arial"/>
                <w:color w:val="222222"/>
                <w:sz w:val="20"/>
              </w:rPr>
              <w:t>Dùng Luật Tố cáo 2018 cho nội dung tố cáo.</w:t>
            </w:r>
          </w:p>
        </w:tc>
      </w:tr>
      <w:tr>
        <w:tc>
          <w:tcPr>
            <w:tcW w:type="dxa" w:w="2952"/>
            <w:tcMar>
              <w:top w:w="100" w:type="dxa"/>
              <w:start w:w="120" w:type="dxa"/>
              <w:bottom w:w="100" w:type="dxa"/>
              <w:end w:w="120" w:type="dxa"/>
            </w:tcMar>
          </w:tcPr>
          <w:p>
            <w:r>
              <w:rPr>
                <w:rFonts w:ascii="Arial" w:hAnsi="Arial" w:eastAsia="Arial"/>
                <w:color w:val="222222"/>
                <w:sz w:val="20"/>
              </w:rPr>
              <w:t>Tranh chấp lao động</w:t>
            </w:r>
          </w:p>
        </w:tc>
        <w:tc>
          <w:tcPr>
            <w:tcW w:type="dxa" w:w="6696"/>
            <w:tcMar>
              <w:top w:w="100" w:type="dxa"/>
              <w:start w:w="120" w:type="dxa"/>
              <w:bottom w:w="100" w:type="dxa"/>
              <w:end w:w="120" w:type="dxa"/>
            </w:tcMar>
          </w:tcPr>
          <w:p>
            <w:r>
              <w:rPr>
                <w:rFonts w:ascii="Arial" w:hAnsi="Arial" w:eastAsia="Arial"/>
                <w:color w:val="222222"/>
                <w:sz w:val="20"/>
              </w:rPr>
              <w:t>Dùng Bộ luật Lao động 2019; bỏ mô hình Hội đồng hòa giải cơ sở cũ.</w:t>
            </w:r>
          </w:p>
        </w:tc>
      </w:tr>
      <w:tr>
        <w:tc>
          <w:tcPr>
            <w:tcW w:type="dxa" w:w="2952"/>
            <w:tcMar>
              <w:top w:w="100" w:type="dxa"/>
              <w:start w:w="120" w:type="dxa"/>
              <w:bottom w:w="100" w:type="dxa"/>
              <w:end w:w="120" w:type="dxa"/>
            </w:tcMar>
          </w:tcPr>
          <w:p>
            <w:r>
              <w:rPr>
                <w:rFonts w:ascii="Arial" w:hAnsi="Arial" w:eastAsia="Arial"/>
                <w:color w:val="222222"/>
                <w:sz w:val="20"/>
              </w:rPr>
              <w:t>Hiến pháp 2013</w:t>
            </w:r>
          </w:p>
        </w:tc>
        <w:tc>
          <w:tcPr>
            <w:tcW w:type="dxa" w:w="6696"/>
            <w:tcMar>
              <w:top w:w="100" w:type="dxa"/>
              <w:start w:w="120" w:type="dxa"/>
              <w:bottom w:w="100" w:type="dxa"/>
              <w:end w:w="120" w:type="dxa"/>
            </w:tcMar>
          </w:tcPr>
          <w:p>
            <w:r>
              <w:rPr>
                <w:rFonts w:ascii="Arial" w:hAnsi="Arial" w:eastAsia="Arial"/>
                <w:color w:val="222222"/>
                <w:sz w:val="20"/>
              </w:rPr>
              <w:t>Đọc cùng nội dung sửa đổi, bổ sung năm 2025 về Mặt trận Tổ quốc và chính quyền địa phương.</w:t>
            </w:r>
          </w:p>
        </w:tc>
      </w:tr>
      <w:tr>
        <w:tc>
          <w:tcPr>
            <w:tcW w:type="dxa" w:w="2952"/>
            <w:tcMar>
              <w:top w:w="100" w:type="dxa"/>
              <w:start w:w="120" w:type="dxa"/>
              <w:bottom w:w="100" w:type="dxa"/>
              <w:end w:w="120" w:type="dxa"/>
            </w:tcMar>
          </w:tcPr>
          <w:p>
            <w:r>
              <w:rPr>
                <w:rFonts w:ascii="Arial" w:hAnsi="Arial" w:eastAsia="Arial"/>
                <w:color w:val="222222"/>
                <w:sz w:val="20"/>
              </w:rPr>
              <w:t>Thiếu Câu 13</w:t>
            </w:r>
          </w:p>
        </w:tc>
        <w:tc>
          <w:tcPr>
            <w:tcW w:type="dxa" w:w="6696"/>
            <w:tcMar>
              <w:top w:w="100" w:type="dxa"/>
              <w:start w:w="120" w:type="dxa"/>
              <w:bottom w:w="100" w:type="dxa"/>
              <w:end w:w="120" w:type="dxa"/>
            </w:tcMar>
          </w:tcPr>
          <w:p>
            <w:r>
              <w:rPr>
                <w:rFonts w:ascii="Arial" w:hAnsi="Arial" w:eastAsia="Arial"/>
                <w:color w:val="222222"/>
                <w:sz w:val="20"/>
              </w:rPr>
              <w:t>Bổ sung chuyên đề hợp đồng lao động.</w:t>
            </w:r>
          </w:p>
        </w:tc>
      </w:tr>
      <w:tr>
        <w:tc>
          <w:tcPr>
            <w:tcW w:type="dxa" w:w="2952"/>
            <w:tcMar>
              <w:top w:w="100" w:type="dxa"/>
              <w:start w:w="120" w:type="dxa"/>
              <w:bottom w:w="100" w:type="dxa"/>
              <w:end w:w="120" w:type="dxa"/>
            </w:tcMar>
          </w:tcPr>
          <w:p>
            <w:r>
              <w:rPr>
                <w:rFonts w:ascii="Arial" w:hAnsi="Arial" w:eastAsia="Arial"/>
                <w:color w:val="222222"/>
                <w:sz w:val="20"/>
              </w:rPr>
              <w:t>Bài tập hình sự</w:t>
            </w:r>
          </w:p>
        </w:tc>
        <w:tc>
          <w:tcPr>
            <w:tcW w:type="dxa" w:w="6696"/>
            <w:tcMar>
              <w:top w:w="100" w:type="dxa"/>
              <w:start w:w="120" w:type="dxa"/>
              <w:bottom w:w="100" w:type="dxa"/>
              <w:end w:w="120" w:type="dxa"/>
            </w:tcMar>
          </w:tcPr>
          <w:p>
            <w:r>
              <w:rPr>
                <w:rFonts w:ascii="Arial" w:hAnsi="Arial" w:eastAsia="Arial"/>
                <w:color w:val="222222"/>
                <w:sz w:val="20"/>
              </w:rPr>
              <w:t>Sửa lỗi nhầm giữa cướp, cướp giật, công nhiên chiếm đoạt, trộm cắp, lừa đảo và lạm dụng tín nhiệm.</w:t>
            </w:r>
          </w:p>
        </w:tc>
      </w:tr>
    </w:tbl>
    <w:p>
      <w:pPr>
        <w:pStyle w:val="Heading1"/>
      </w:pPr>
      <w:r>
        <w:t>DANH MỤC VĂN BẢN NỀN TẢNG</w:t>
      </w:r>
    </w:p>
    <w:p>
      <w:pPr>
        <w:pStyle w:val="ListBullet"/>
        <w:spacing w:after="60"/>
      </w:pPr>
      <w:r>
        <w:rPr>
          <w:rFonts w:ascii="Arial" w:hAnsi="Arial" w:eastAsia="Arial"/>
          <w:color w:val="222222"/>
          <w:sz w:val="22"/>
        </w:rPr>
        <w:t>Hiến pháp năm 2013 và Nghị quyết sửa đổi, bổ sung một số điều của Hiến pháp năm 2025.</w:t>
      </w:r>
    </w:p>
    <w:p>
      <w:pPr>
        <w:pStyle w:val="ListBullet"/>
        <w:spacing w:after="60"/>
      </w:pPr>
      <w:r>
        <w:rPr>
          <w:rFonts w:ascii="Arial" w:hAnsi="Arial" w:eastAsia="Arial"/>
          <w:color w:val="222222"/>
          <w:sz w:val="22"/>
        </w:rPr>
        <w:t>Luật Ban hành văn bản quy phạm pháp luật số 64/2025/QH15 và Luật sửa đổi, bổ sung số 87/2025/QH15.</w:t>
      </w:r>
    </w:p>
    <w:p>
      <w:pPr>
        <w:pStyle w:val="ListBullet"/>
        <w:spacing w:after="60"/>
      </w:pPr>
      <w:r>
        <w:rPr>
          <w:rFonts w:ascii="Arial" w:hAnsi="Arial" w:eastAsia="Arial"/>
          <w:color w:val="222222"/>
          <w:sz w:val="22"/>
        </w:rPr>
        <w:t>Bộ luật Dân sự năm 2015.</w:t>
      </w:r>
    </w:p>
    <w:p>
      <w:pPr>
        <w:pStyle w:val="ListBullet"/>
        <w:spacing w:after="60"/>
      </w:pPr>
      <w:r>
        <w:rPr>
          <w:rFonts w:ascii="Arial" w:hAnsi="Arial" w:eastAsia="Arial"/>
          <w:color w:val="222222"/>
          <w:sz w:val="22"/>
        </w:rPr>
        <w:t>Bộ luật Hình sự năm 2015, Luật sửa đổi năm 2017 và Luật sửa đổi, bổ sung số 86/2025/QH15.</w:t>
      </w:r>
    </w:p>
    <w:p>
      <w:pPr>
        <w:pStyle w:val="ListBullet"/>
        <w:spacing w:after="60"/>
      </w:pPr>
      <w:r>
        <w:rPr>
          <w:rFonts w:ascii="Arial" w:hAnsi="Arial" w:eastAsia="Arial"/>
          <w:color w:val="222222"/>
          <w:sz w:val="22"/>
        </w:rPr>
        <w:t>Bộ luật Lao động năm 2019.</w:t>
      </w:r>
    </w:p>
    <w:p>
      <w:pPr>
        <w:pStyle w:val="ListBullet"/>
        <w:spacing w:after="60"/>
      </w:pPr>
      <w:r>
        <w:rPr>
          <w:rFonts w:ascii="Arial" w:hAnsi="Arial" w:eastAsia="Arial"/>
          <w:color w:val="222222"/>
          <w:sz w:val="22"/>
        </w:rPr>
        <w:t>Luật Hôn nhân và gia đình năm 2014.</w:t>
      </w:r>
    </w:p>
    <w:p>
      <w:pPr>
        <w:pStyle w:val="ListBullet"/>
        <w:spacing w:after="60"/>
      </w:pPr>
      <w:r>
        <w:rPr>
          <w:rFonts w:ascii="Arial" w:hAnsi="Arial" w:eastAsia="Arial"/>
          <w:color w:val="222222"/>
          <w:sz w:val="22"/>
        </w:rPr>
        <w:t>Luật Tố cáo năm 2018; Luật Khiếu nại năm 2011.</w:t>
      </w:r>
    </w:p>
    <w:p>
      <w:pPr>
        <w:pStyle w:val="ListBullet"/>
        <w:spacing w:after="60"/>
      </w:pPr>
      <w:r>
        <w:rPr>
          <w:rFonts w:ascii="Arial" w:hAnsi="Arial" w:eastAsia="Arial"/>
          <w:color w:val="222222"/>
          <w:sz w:val="22"/>
        </w:rPr>
        <w:t>Luật Xử lý vi phạm hành chính năm 2012 và các luật sửa đổi, bổ sung hiện hành.</w:t>
      </w:r>
    </w:p>
    <w:p>
      <w:r>
        <w:rPr>
          <w:rFonts w:ascii="Arial" w:hAnsi="Arial" w:eastAsia="Arial"/>
          <w:color w:val="222222"/>
          <w:sz w:val="20"/>
        </w:rPr>
        <w:t xml:space="preserve">Tra cứu bản chính thức tại: </w:t>
      </w:r>
      <w:r>
        <w:rPr>
          <w:rFonts w:ascii="Arial" w:hAnsi="Arial" w:eastAsia="Arial"/>
          <w:color w:val="1F4E79"/>
          <w:sz w:val="20"/>
        </w:rPr>
        <w:t>https://vanban.chinhphu.vn/  |  https://vbpl.vn/</w:t>
      </w:r>
      <w:r>
        <w:br w:type="page"/>
      </w:r>
    </w:p>
    <w:p>
      <w:pPr>
        <w:pStyle w:val="Heading1"/>
      </w:pPr>
      <w:r>
        <w:t>PHẦN I. ĐÁP ÁN ĐẦY ĐỦ 19 CÂU LÝ THUYẾT</w:t>
      </w:r>
    </w:p>
    <w:p>
      <w:pPr>
        <w:pStyle w:val="Heading2"/>
      </w:pPr>
      <w:r>
        <w:t>Câu 1. Khái niệm và bản chất của Nhà nước; ý nghĩa phương pháp luận</w:t>
      </w:r>
    </w:p>
    <w:p>
      <w:pPr>
        <w:pStyle w:val="Heading3"/>
      </w:pPr>
      <w:r>
        <w:t>Khái niệm</w:t>
      </w:r>
    </w:p>
    <w:p>
      <w:pPr>
        <w:jc w:val="both"/>
      </w:pPr>
      <w:r>
        <w:rPr>
          <w:rFonts w:ascii="Arial" w:hAnsi="Arial" w:eastAsia="Arial"/>
          <w:color w:val="222222"/>
          <w:sz w:val="22"/>
        </w:rPr>
        <w:t>Nhà nước là tổ chức đặc biệt của quyền lực chính trị, có bộ máy chuyên làm nhiệm vụ quản lý và cưỡng chế, quản lý dân cư theo lãnh thổ, ban hành pháp luật và thu thuế nhằm duy trì trật tự, tổ chức đời sống chung của xã hội.</w:t>
      </w:r>
    </w:p>
    <w:p>
      <w:pPr>
        <w:pStyle w:val="Heading3"/>
      </w:pPr>
      <w:r>
        <w:t>Bản chất</w:t>
      </w:r>
    </w:p>
    <w:p>
      <w:pPr>
        <w:pStyle w:val="ListBullet"/>
        <w:spacing w:after="60"/>
      </w:pPr>
      <w:r>
        <w:rPr>
          <w:rFonts w:ascii="Arial" w:hAnsi="Arial" w:eastAsia="Arial"/>
          <w:color w:val="222222"/>
          <w:sz w:val="22"/>
        </w:rPr>
        <w:t>Tính giai cấp: trong xã hội có giai cấp, nhà nước trước hết là công cụ quyền lực của lực lượng giữ địa vị thống trị về kinh tế và chính trị; tính giai cấp thể hiện qua quyền lực kinh tế, chính trị và tư tưởng.</w:t>
      </w:r>
    </w:p>
    <w:p>
      <w:pPr>
        <w:pStyle w:val="ListBullet"/>
        <w:spacing w:after="60"/>
      </w:pPr>
      <w:r>
        <w:rPr>
          <w:rFonts w:ascii="Arial" w:hAnsi="Arial" w:eastAsia="Arial"/>
          <w:color w:val="222222"/>
          <w:sz w:val="22"/>
        </w:rPr>
        <w:t>Tính xã hội: nhà nước phải giải quyết những công việc chung như bảo đảm an ninh, trật tự, hạ tầng, giáo dục, y tế, bảo vệ môi trường và điều hòa lợi ích xã hội.</w:t>
      </w:r>
    </w:p>
    <w:p>
      <w:pPr>
        <w:pStyle w:val="ListBullet"/>
        <w:spacing w:after="60"/>
      </w:pPr>
      <w:r>
        <w:rPr>
          <w:rFonts w:ascii="Arial" w:hAnsi="Arial" w:eastAsia="Arial"/>
          <w:color w:val="222222"/>
          <w:sz w:val="22"/>
        </w:rPr>
        <w:t>Hai phương diện có quan hệ thống nhất. Không được viết rằng nhà nước chỉ có tính giai cấp hoặc chỉ phục vụ lợi ích chung một cách phi giai cấp.</w:t>
      </w:r>
    </w:p>
    <w:p>
      <w:pPr>
        <w:pStyle w:val="Heading3"/>
      </w:pPr>
      <w:r>
        <w:t>Ý nghĩa phương pháp luận</w:t>
      </w:r>
    </w:p>
    <w:p>
      <w:pPr>
        <w:jc w:val="both"/>
      </w:pPr>
      <w:r>
        <w:rPr>
          <w:rFonts w:ascii="Arial" w:hAnsi="Arial" w:eastAsia="Arial"/>
          <w:color w:val="222222"/>
          <w:sz w:val="22"/>
        </w:rPr>
        <w:t>Khi phân tích một nhà nước cụ thể phải đặt trong điều kiện kinh tế – xã hội, tương quan giai cấp, tổ chức quyền lực và chức năng thực tế; đồng thời xem xét cả tính giai cấp và vai trò xã hội.</w:t>
      </w:r>
    </w:p>
    <w:p>
      <w:pPr>
        <w:pStyle w:val="Heading3"/>
      </w:pPr>
      <w:r>
        <w:t>Cơ sở pháp lý</w:t>
      </w:r>
    </w:p>
    <w:p>
      <w:r>
        <w:rPr>
          <w:rFonts w:ascii="Arial" w:hAnsi="Arial" w:eastAsia="Arial"/>
          <w:color w:val="222222"/>
          <w:sz w:val="22"/>
        </w:rPr>
        <w:t>Giáo trình Lý luận Nhà nước và pháp luật; các quy định nền tảng của Hiến pháp năm 2013.</w:t>
      </w:r>
    </w:p>
    <w:p>
      <w:pPr>
        <w:pStyle w:val="Heading3"/>
      </w:pPr>
      <w:r>
        <w:t>Phân tích chi tiết</w:t>
      </w:r>
    </w:p>
    <w:p>
      <w:pPr>
        <w:pStyle w:val="ListBullet"/>
        <w:spacing w:after="60"/>
      </w:pPr>
      <w:r>
        <w:rPr>
          <w:rFonts w:ascii="Arial" w:hAnsi="Arial" w:eastAsia="Arial"/>
          <w:color w:val="222222"/>
          <w:sz w:val="22"/>
        </w:rPr>
        <w:t>Nhà nước là quyền lực công cộng đặc biệt, tách tương đối khỏi dân cư và được tổ chức thành bộ máy gồm các cơ quan thực hiện quyền lực. Nhà nước khác các tổ chức xã hội ở quyền ban hành pháp luật, sử dụng cưỡng chế nhà nước, quản lý dân cư theo lãnh thổ, thực hiện chủ quyền và thu các khoản bắt buộc để duy trì bộ máy.</w:t>
      </w:r>
    </w:p>
    <w:p>
      <w:pPr>
        <w:pStyle w:val="ListBullet"/>
        <w:spacing w:after="60"/>
      </w:pPr>
      <w:r>
        <w:rPr>
          <w:rFonts w:ascii="Arial" w:hAnsi="Arial" w:eastAsia="Arial"/>
          <w:color w:val="222222"/>
          <w:sz w:val="22"/>
        </w:rPr>
        <w:t>Tính giai cấp thể hiện ở chỗ nhà nước ra đời trong xã hội có mâu thuẫn giai cấp và quyền lực nhà nước trước hết phản ánh ý chí, bảo vệ địa vị của lực lượng giữ ưu thế về kinh tế và chính trị. Tính giai cấp thể hiện thông qua chính sách kinh tế, tổ chức quyền lực, pháp luật và hệ tư tưởng.</w:t>
      </w:r>
    </w:p>
    <w:p>
      <w:pPr>
        <w:pStyle w:val="ListBullet"/>
        <w:spacing w:after="60"/>
      </w:pPr>
      <w:r>
        <w:rPr>
          <w:rFonts w:ascii="Arial" w:hAnsi="Arial" w:eastAsia="Arial"/>
          <w:color w:val="222222"/>
          <w:sz w:val="22"/>
        </w:rPr>
        <w:t>Tính xã hội thể hiện qua việc nhà nước phải giải quyết các công việc chung mà cá nhân hoặc tổ chức riêng lẻ không thể tự giải quyết có hiệu quả: bảo vệ trật tự, quốc phòng, hạ tầng, giáo dục, y tế, cứu trợ, môi trường và điều hòa lợi ích.</w:t>
      </w:r>
    </w:p>
    <w:p>
      <w:pPr>
        <w:pStyle w:val="ListBullet"/>
        <w:spacing w:after="60"/>
      </w:pPr>
      <w:r>
        <w:rPr>
          <w:rFonts w:ascii="Arial" w:hAnsi="Arial" w:eastAsia="Arial"/>
          <w:color w:val="222222"/>
          <w:sz w:val="22"/>
        </w:rPr>
        <w:t>Hai phương diện có quan hệ thống nhất. Nếu nhà nước không thực hiện chức năng xã hội thì trật tự chung và chính cơ sở tồn tại của quyền lực nhà nước cũng bị đe dọa. Ngược lại, chức năng xã hội được thực hiện trong những điều kiện chính trị và lợi ích nhất định.</w:t>
      </w:r>
    </w:p>
    <w:p>
      <w:pPr>
        <w:pStyle w:val="ListBullet"/>
        <w:spacing w:after="60"/>
      </w:pPr>
      <w:r>
        <w:rPr>
          <w:rFonts w:ascii="Arial" w:hAnsi="Arial" w:eastAsia="Arial"/>
          <w:color w:val="222222"/>
          <w:sz w:val="22"/>
        </w:rPr>
        <w:t>Ý nghĩa phương pháp luận là khi đánh giá một nhà nước phải xem xét điều kiện lịch sử, cơ sở kinh tế, lực lượng nắm quyền, cách tổ chức quyền lực và hoạt động thực tế; không được nhìn nhà nước như một hiện tượng phi giai cấp hoặc chỉ là bộ máy cưỡng chế.</w:t>
      </w:r>
    </w:p>
    <w:p>
      <w:pPr>
        <w:pStyle w:val="Heading3"/>
      </w:pPr>
      <w:r>
        <w:t>Ví dụ minh họa</w:t>
      </w:r>
    </w:p>
    <w:p>
      <w:pPr>
        <w:jc w:val="both"/>
      </w:pPr>
      <w:r>
        <w:rPr>
          <w:rFonts w:ascii="Arial" w:hAnsi="Arial" w:eastAsia="Arial"/>
          <w:color w:val="222222"/>
          <w:sz w:val="22"/>
        </w:rPr>
        <w:t>Việc Nhà nước ban hành chính sách thuế vừa tạo nguồn lực duy trì bộ máy quyền lực, vừa cung cấp tài chính cho giáo dục, y tế và an sinh. Ví dụ này phản ánh đồng thời phương diện quyền lực và phương diện xã hội.</w:t>
      </w:r>
    </w:p>
    <w:p>
      <w:pPr>
        <w:pStyle w:val="Heading3"/>
      </w:pPr>
      <w:r>
        <w:t>Những lỗi dễ mất điểm</w:t>
      </w:r>
    </w:p>
    <w:p>
      <w:pPr>
        <w:pStyle w:val="ListBullet"/>
        <w:spacing w:after="60"/>
      </w:pPr>
      <w:r>
        <w:rPr>
          <w:rFonts w:ascii="Arial" w:hAnsi="Arial" w:eastAsia="Arial"/>
          <w:color w:val="222222"/>
          <w:sz w:val="22"/>
        </w:rPr>
        <w:t>Viết tính giai cấp là bảo vệ trước hết lợi ích toàn xã hội.</w:t>
      </w:r>
    </w:p>
    <w:p>
      <w:pPr>
        <w:pStyle w:val="ListBullet"/>
        <w:spacing w:after="60"/>
      </w:pPr>
      <w:r>
        <w:rPr>
          <w:rFonts w:ascii="Arial" w:hAnsi="Arial" w:eastAsia="Arial"/>
          <w:color w:val="222222"/>
          <w:sz w:val="22"/>
        </w:rPr>
        <w:t>Chỉ kể quyền lực kinh tế, chính trị, tư tưởng mà không giải thích.</w:t>
      </w:r>
    </w:p>
    <w:p>
      <w:pPr>
        <w:pStyle w:val="ListBullet"/>
        <w:spacing w:after="60"/>
      </w:pPr>
      <w:r>
        <w:rPr>
          <w:rFonts w:ascii="Arial" w:hAnsi="Arial" w:eastAsia="Arial"/>
          <w:color w:val="222222"/>
          <w:sz w:val="22"/>
        </w:rPr>
        <w:t>Nhầm bản chất Nhà nước với chức năng hoặc hình thức Nhà nước.</w:t>
      </w:r>
    </w:p>
    <w:p>
      <w:pPr>
        <w:pStyle w:val="Heading3"/>
      </w:pPr>
      <w:r>
        <w:t>Dàn ý trả lời khi thi</w:t>
      </w:r>
    </w:p>
    <w:p>
      <w:pPr>
        <w:pStyle w:val="ListNumber"/>
        <w:spacing w:after="60"/>
      </w:pPr>
      <w:r>
        <w:rPr>
          <w:rFonts w:ascii="Arial" w:hAnsi="Arial" w:eastAsia="Arial"/>
          <w:color w:val="222222"/>
          <w:sz w:val="22"/>
        </w:rPr>
        <w:t>Nêu khái niệm và dấu hiệu Nhà nước.</w:t>
      </w:r>
    </w:p>
    <w:p>
      <w:pPr>
        <w:pStyle w:val="ListNumber"/>
        <w:spacing w:after="60"/>
      </w:pPr>
      <w:r>
        <w:rPr>
          <w:rFonts w:ascii="Arial" w:hAnsi="Arial" w:eastAsia="Arial"/>
          <w:color w:val="222222"/>
          <w:sz w:val="22"/>
        </w:rPr>
        <w:t>Phân tích tính giai cấp.</w:t>
      </w:r>
    </w:p>
    <w:p>
      <w:pPr>
        <w:pStyle w:val="ListNumber"/>
        <w:spacing w:after="60"/>
      </w:pPr>
      <w:r>
        <w:rPr>
          <w:rFonts w:ascii="Arial" w:hAnsi="Arial" w:eastAsia="Arial"/>
          <w:color w:val="222222"/>
          <w:sz w:val="22"/>
        </w:rPr>
        <w:t>Phân tích tính xã hội và mối quan hệ.</w:t>
      </w:r>
    </w:p>
    <w:p>
      <w:pPr>
        <w:pStyle w:val="ListNumber"/>
        <w:spacing w:after="60"/>
      </w:pPr>
      <w:r>
        <w:rPr>
          <w:rFonts w:ascii="Arial" w:hAnsi="Arial" w:eastAsia="Arial"/>
          <w:color w:val="222222"/>
          <w:sz w:val="22"/>
        </w:rPr>
        <w:t>Nêu ý nghĩa phương pháp luận và kết luận.</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quyền lực công cộng đặc biệt; quản lý dân cư; chủ quyền; pháp luật; thuế; tính giai cấp; tính xã hội</w:t>
            </w:r>
          </w:p>
        </w:tc>
      </w:tr>
    </w:tbl>
    <w:p>
      <w:pPr>
        <w:spacing w:after="0"/>
      </w:pPr>
    </w:p>
    <w:p>
      <w:pPr>
        <w:pStyle w:val="Heading2"/>
      </w:pPr>
      <w:r>
        <w:t>Câu 2. Văn bản quy phạm pháp luật và nguyên tắc xây dựng, ban hành</w:t>
      </w:r>
    </w:p>
    <w:p>
      <w:pPr>
        <w:pStyle w:val="Heading3"/>
      </w:pPr>
      <w:r>
        <w:t>Khái niệm</w:t>
      </w:r>
    </w:p>
    <w:p>
      <w:pPr>
        <w:jc w:val="both"/>
      </w:pPr>
      <w:r>
        <w:rPr>
          <w:rFonts w:ascii="Arial" w:hAnsi="Arial" w:eastAsia="Arial"/>
          <w:color w:val="222222"/>
          <w:sz w:val="22"/>
        </w:rPr>
        <w:t>Văn bản quy phạm pháp luật là văn bản có chứa quy phạm pháp luật, được ban hành đúng thẩm quyền, hình thức, trình tự và thủ tục theo luật. Nếu ban hành không đúng thẩm quyền, hình thức hoặc thủ tục luật định thì không được coi là văn bản quy phạm pháp luật.</w:t>
      </w:r>
    </w:p>
    <w:p>
      <w:pPr>
        <w:pStyle w:val="Heading3"/>
      </w:pPr>
      <w:r>
        <w:t>Đặc điểm</w:t>
      </w:r>
    </w:p>
    <w:p>
      <w:pPr>
        <w:pStyle w:val="ListBullet"/>
        <w:spacing w:after="60"/>
      </w:pPr>
      <w:r>
        <w:rPr>
          <w:rFonts w:ascii="Arial" w:hAnsi="Arial" w:eastAsia="Arial"/>
          <w:color w:val="222222"/>
          <w:sz w:val="22"/>
        </w:rPr>
        <w:t>Chứa quy tắc xử sự chung, áp dụng nhiều lần đối với nhiều chủ thể.</w:t>
      </w:r>
    </w:p>
    <w:p>
      <w:pPr>
        <w:pStyle w:val="ListBullet"/>
        <w:spacing w:after="60"/>
      </w:pPr>
      <w:r>
        <w:rPr>
          <w:rFonts w:ascii="Arial" w:hAnsi="Arial" w:eastAsia="Arial"/>
          <w:color w:val="222222"/>
          <w:sz w:val="22"/>
        </w:rPr>
        <w:t>Do chủ thể có thẩm quyền ban hành và có tên loại văn bản do pháp luật quy định.</w:t>
      </w:r>
    </w:p>
    <w:p>
      <w:pPr>
        <w:pStyle w:val="ListBullet"/>
        <w:spacing w:after="60"/>
      </w:pPr>
      <w:r>
        <w:rPr>
          <w:rFonts w:ascii="Arial" w:hAnsi="Arial" w:eastAsia="Arial"/>
          <w:color w:val="222222"/>
          <w:sz w:val="22"/>
        </w:rPr>
        <w:t>Có hiệu lực bắt buộc và được Nhà nước bảo đảm thực hiện.</w:t>
      </w:r>
    </w:p>
    <w:p>
      <w:pPr>
        <w:pStyle w:val="ListBullet"/>
        <w:spacing w:after="60"/>
      </w:pPr>
      <w:r>
        <w:rPr>
          <w:rFonts w:ascii="Arial" w:hAnsi="Arial" w:eastAsia="Arial"/>
          <w:color w:val="222222"/>
          <w:sz w:val="22"/>
        </w:rPr>
        <w:t>Phải phù hợp với Hiến pháp, văn bản có hiệu lực pháp lý cao hơn và bảo đảm tính thống nhất của hệ thống pháp luật.</w:t>
      </w:r>
    </w:p>
    <w:p>
      <w:pPr>
        <w:pStyle w:val="Heading3"/>
      </w:pPr>
      <w:r>
        <w:t>Nguyên tắc trọng tâm</w:t>
      </w:r>
    </w:p>
    <w:p>
      <w:pPr>
        <w:pStyle w:val="ListBullet"/>
        <w:spacing w:after="60"/>
      </w:pPr>
      <w:r>
        <w:rPr>
          <w:rFonts w:ascii="Arial" w:hAnsi="Arial" w:eastAsia="Arial"/>
          <w:color w:val="222222"/>
          <w:sz w:val="22"/>
        </w:rPr>
        <w:t>Bảo đảm sự lãnh đạo của Đảng, chủ quyền nhân dân và kiểm soát quyền lực nhà nước.</w:t>
      </w:r>
    </w:p>
    <w:p>
      <w:pPr>
        <w:pStyle w:val="ListBullet"/>
        <w:spacing w:after="60"/>
      </w:pPr>
      <w:r>
        <w:rPr>
          <w:rFonts w:ascii="Arial" w:hAnsi="Arial" w:eastAsia="Arial"/>
          <w:color w:val="222222"/>
          <w:sz w:val="22"/>
        </w:rPr>
        <w:t>Bảo đảm tính hợp hiến, hợp pháp, thống nhất, công khai, minh bạch, khả thi và ổn định.</w:t>
      </w:r>
    </w:p>
    <w:p>
      <w:pPr>
        <w:pStyle w:val="ListBullet"/>
        <w:spacing w:after="60"/>
      </w:pPr>
      <w:r>
        <w:rPr>
          <w:rFonts w:ascii="Arial" w:hAnsi="Arial" w:eastAsia="Arial"/>
          <w:color w:val="222222"/>
          <w:sz w:val="22"/>
        </w:rPr>
        <w:t>Đúng thẩm quyền, nội dung, hình thức, trình tự và thủ tục.</w:t>
      </w:r>
    </w:p>
    <w:p>
      <w:pPr>
        <w:pStyle w:val="ListBullet"/>
        <w:spacing w:after="60"/>
      </w:pPr>
      <w:r>
        <w:rPr>
          <w:rFonts w:ascii="Arial" w:hAnsi="Arial" w:eastAsia="Arial"/>
          <w:color w:val="222222"/>
          <w:sz w:val="22"/>
        </w:rPr>
        <w:t>Tôn trọng, bảo vệ quyền con người, quyền công dân; bảo đảm quốc phòng, an ninh và thực hiện điều ước quốc tế mà Việt Nam là thành viên.</w:t>
      </w:r>
    </w:p>
    <w:p>
      <w:pPr>
        <w:pStyle w:val="ListBullet"/>
        <w:spacing w:after="60"/>
      </w:pPr>
      <w:r>
        <w:rPr>
          <w:rFonts w:ascii="Arial" w:hAnsi="Arial" w:eastAsia="Arial"/>
          <w:color w:val="222222"/>
          <w:sz w:val="22"/>
        </w:rPr>
        <w:t>Quy trình cụ thể phụ thuộc từng loại văn bản; không dùng một quy trình của luật để áp dụng cho mọi văn bản.</w:t>
      </w:r>
    </w:p>
    <w:p>
      <w:pPr>
        <w:pStyle w:val="Heading3"/>
      </w:pPr>
      <w:r>
        <w:t>Cơ sở pháp lý</w:t>
      </w:r>
    </w:p>
    <w:p>
      <w:r>
        <w:rPr>
          <w:rFonts w:ascii="Arial" w:hAnsi="Arial" w:eastAsia="Arial"/>
          <w:color w:val="222222"/>
          <w:sz w:val="22"/>
        </w:rPr>
        <w:t>Luật Ban hành văn bản quy phạm pháp luật số 64/2025/QH15 và Luật sửa đổi, bổ sung số 87/2025/QH15.</w:t>
      </w:r>
    </w:p>
    <w:p>
      <w:pPr>
        <w:pStyle w:val="Heading3"/>
      </w:pPr>
      <w:r>
        <w:t>Phân tích chi tiết</w:t>
      </w:r>
    </w:p>
    <w:p>
      <w:pPr>
        <w:pStyle w:val="ListBullet"/>
        <w:spacing w:after="60"/>
      </w:pPr>
      <w:r>
        <w:rPr>
          <w:rFonts w:ascii="Arial" w:hAnsi="Arial" w:eastAsia="Arial"/>
          <w:color w:val="222222"/>
          <w:sz w:val="22"/>
        </w:rPr>
        <w:t>Dấu hiệu cốt lõi của văn bản quy phạm pháp luật là có chứa quy phạm pháp luật, tức quy tắc xử sự chung, có hiệu lực bắt buộc chung và được áp dụng lặp lại. Văn bản giải quyết một cá nhân hoặc vụ việc xác định thường là văn bản áp dụng pháp luật, không phải văn bản QPPL.</w:t>
      </w:r>
    </w:p>
    <w:p>
      <w:pPr>
        <w:pStyle w:val="ListBullet"/>
        <w:spacing w:after="60"/>
      </w:pPr>
      <w:r>
        <w:rPr>
          <w:rFonts w:ascii="Arial" w:hAnsi="Arial" w:eastAsia="Arial"/>
          <w:color w:val="222222"/>
          <w:sz w:val="22"/>
        </w:rPr>
        <w:t>Văn bản phải được ban hành đúng chủ thể có thẩm quyền, đúng tên loại, nội dung, hình thức, trình tự và thủ tục do luật quy định. Việc một cơ quan nhà nước ban hành văn bản không đương nhiên làm văn bản đó trở thành văn bản QPPL.</w:t>
      </w:r>
    </w:p>
    <w:p>
      <w:pPr>
        <w:pStyle w:val="ListBullet"/>
        <w:spacing w:after="60"/>
      </w:pPr>
      <w:r>
        <w:rPr>
          <w:rFonts w:ascii="Arial" w:hAnsi="Arial" w:eastAsia="Arial"/>
          <w:color w:val="222222"/>
          <w:sz w:val="22"/>
        </w:rPr>
        <w:t>Tính hợp hiến yêu cầu mọi văn bản phù hợp Hiến pháp. Tính hợp pháp bao gồm phù hợp văn bản có hiệu lực cao hơn và đúng thẩm quyền, thủ tục. Tính thống nhất đòi hỏi quy định không mâu thuẫn, chồng chéo trong hệ thống.</w:t>
      </w:r>
    </w:p>
    <w:p>
      <w:pPr>
        <w:pStyle w:val="ListBullet"/>
        <w:spacing w:after="60"/>
      </w:pPr>
      <w:r>
        <w:rPr>
          <w:rFonts w:ascii="Arial" w:hAnsi="Arial" w:eastAsia="Arial"/>
          <w:color w:val="222222"/>
          <w:sz w:val="22"/>
        </w:rPr>
        <w:t>Công khai, minh bạch đòi hỏi quá trình xây dựng và nội dung văn bản có khả năng tiếp cận, lấy ý kiến khi pháp luật yêu cầu và công bố đúng quy định. Tính khả thi đòi hỏi quy định rõ ràng, có nguồn lực, có điều kiện thực hiện và không tạo chi phí tuân thủ bất hợp lý.</w:t>
      </w:r>
    </w:p>
    <w:p>
      <w:pPr>
        <w:pStyle w:val="ListBullet"/>
        <w:spacing w:after="60"/>
      </w:pPr>
      <w:r>
        <w:rPr>
          <w:rFonts w:ascii="Arial" w:hAnsi="Arial" w:eastAsia="Arial"/>
          <w:color w:val="222222"/>
          <w:sz w:val="22"/>
        </w:rPr>
        <w:t>Phải bảo đảm quyền con người, quyền công dân, lợi ích quốc gia, quốc phòng, an ninh và việc thực hiện điều ước quốc tế. Khi điều ước quốc tế và văn bản trong nước khác nhau phải áp dụng theo quy tắc của pháp luật về điều ước quốc tế; Hiến pháp vẫn có vị trí cao nhất.</w:t>
      </w:r>
    </w:p>
    <w:p>
      <w:pPr>
        <w:pStyle w:val="ListBullet"/>
        <w:spacing w:after="60"/>
      </w:pPr>
      <w:r>
        <w:rPr>
          <w:rFonts w:ascii="Arial" w:hAnsi="Arial" w:eastAsia="Arial"/>
          <w:color w:val="222222"/>
          <w:sz w:val="22"/>
        </w:rPr>
        <w:t>Quy trình ban hành không giống nhau cho mọi văn bản. Luật, nghị quyết của Quốc hội có quy trình khác nghị định, thông tư hoặc nghị quyết của HĐND. Vì vậy bài thi nên trình bày nguyên tắc chung, chỉ nêu quy trình cụ thể khi đề yêu cầu.</w:t>
      </w:r>
    </w:p>
    <w:p>
      <w:pPr>
        <w:pStyle w:val="Heading3"/>
      </w:pPr>
      <w:r>
        <w:t>Ví dụ minh họa</w:t>
      </w:r>
    </w:p>
    <w:p>
      <w:pPr>
        <w:jc w:val="both"/>
      </w:pPr>
      <w:r>
        <w:rPr>
          <w:rFonts w:ascii="Arial" w:hAnsi="Arial" w:eastAsia="Arial"/>
          <w:color w:val="222222"/>
          <w:sz w:val="22"/>
        </w:rPr>
        <w:t>Quyết định xử phạt A 5 triệu đồng chỉ áp dụng một lần cho A nên là văn bản áp dụng pháp luật. Nghị định quy định mức phạt chung cho mọi người có hành vi tương ứng là văn bản QPPL.</w:t>
      </w:r>
    </w:p>
    <w:p>
      <w:pPr>
        <w:pStyle w:val="Heading3"/>
      </w:pPr>
      <w:r>
        <w:t>Những lỗi dễ mất điểm</w:t>
      </w:r>
    </w:p>
    <w:p>
      <w:pPr>
        <w:pStyle w:val="ListBullet"/>
        <w:spacing w:after="60"/>
      </w:pPr>
      <w:r>
        <w:rPr>
          <w:rFonts w:ascii="Arial" w:hAnsi="Arial" w:eastAsia="Arial"/>
          <w:color w:val="222222"/>
          <w:sz w:val="22"/>
        </w:rPr>
        <w:t>Gọi mọi công văn, thông báo là văn bản QPPL.</w:t>
      </w:r>
    </w:p>
    <w:p>
      <w:pPr>
        <w:pStyle w:val="ListBullet"/>
        <w:spacing w:after="60"/>
      </w:pPr>
      <w:r>
        <w:rPr>
          <w:rFonts w:ascii="Arial" w:hAnsi="Arial" w:eastAsia="Arial"/>
          <w:color w:val="222222"/>
          <w:sz w:val="22"/>
        </w:rPr>
        <w:t>Nêu quy trình xây dựng luật như quy trình chung của tất cả văn bản.</w:t>
      </w:r>
    </w:p>
    <w:p>
      <w:pPr>
        <w:pStyle w:val="ListBullet"/>
        <w:spacing w:after="60"/>
      </w:pPr>
      <w:r>
        <w:rPr>
          <w:rFonts w:ascii="Arial" w:hAnsi="Arial" w:eastAsia="Arial"/>
          <w:color w:val="222222"/>
          <w:sz w:val="22"/>
        </w:rPr>
        <w:t>Khẳng định điều ước quốc tế luôn cao hơn Hiến pháp.</w:t>
      </w:r>
    </w:p>
    <w:p>
      <w:pPr>
        <w:pStyle w:val="Heading3"/>
      </w:pPr>
      <w:r>
        <w:t>Dàn ý trả lời khi thi</w:t>
      </w:r>
    </w:p>
    <w:p>
      <w:pPr>
        <w:pStyle w:val="ListNumber"/>
        <w:spacing w:after="60"/>
      </w:pPr>
      <w:r>
        <w:rPr>
          <w:rFonts w:ascii="Arial" w:hAnsi="Arial" w:eastAsia="Arial"/>
          <w:color w:val="222222"/>
          <w:sz w:val="22"/>
        </w:rPr>
        <w:t>Khái niệm.</w:t>
      </w:r>
    </w:p>
    <w:p>
      <w:pPr>
        <w:pStyle w:val="ListNumber"/>
        <w:spacing w:after="60"/>
      </w:pPr>
      <w:r>
        <w:rPr>
          <w:rFonts w:ascii="Arial" w:hAnsi="Arial" w:eastAsia="Arial"/>
          <w:color w:val="222222"/>
          <w:sz w:val="22"/>
        </w:rPr>
        <w:t>Bốn nhóm đặc điểm.</w:t>
      </w:r>
    </w:p>
    <w:p>
      <w:pPr>
        <w:pStyle w:val="ListNumber"/>
        <w:spacing w:after="60"/>
      </w:pPr>
      <w:r>
        <w:rPr>
          <w:rFonts w:ascii="Arial" w:hAnsi="Arial" w:eastAsia="Arial"/>
          <w:color w:val="222222"/>
          <w:sz w:val="22"/>
        </w:rPr>
        <w:t>Các nguyên tắc: hợp hiến–hợp pháp–thống nhất; đúng thẩm quyền; minh bạch; khả thi; bảo đảm quyền.</w:t>
      </w:r>
    </w:p>
    <w:p>
      <w:pPr>
        <w:pStyle w:val="ListNumber"/>
        <w:spacing w:after="60"/>
      </w:pPr>
      <w:r>
        <w:rPr>
          <w:rFonts w:ascii="Arial" w:hAnsi="Arial" w:eastAsia="Arial"/>
          <w:color w:val="222222"/>
          <w:sz w:val="22"/>
        </w:rPr>
        <w:t>Ví dụ phân biệt văn bản QPPL và cá biệt.</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quy tắc xử sự chung; áp dụng nhiều lần; đúng thẩm quyền; hợp hiến; hợp pháp; thống nhất; minh bạch; khả thi</w:t>
            </w:r>
          </w:p>
        </w:tc>
      </w:tr>
    </w:tbl>
    <w:p>
      <w:pPr>
        <w:spacing w:after="0"/>
      </w:pPr>
    </w:p>
    <w:p>
      <w:pPr>
        <w:pStyle w:val="Heading2"/>
      </w:pPr>
      <w:r>
        <w:t>Câu 3. Bản chất và đặc trưng của Nhà nước CHXHCN Việt Nam</w:t>
      </w:r>
    </w:p>
    <w:p>
      <w:pPr>
        <w:pStyle w:val="Heading3"/>
      </w:pPr>
      <w:r>
        <w:t>Bản chất hiến định</w:t>
      </w:r>
    </w:p>
    <w:p>
      <w:pPr>
        <w:jc w:val="both"/>
      </w:pPr>
      <w:r>
        <w:rPr>
          <w:rFonts w:ascii="Arial" w:hAnsi="Arial" w:eastAsia="Arial"/>
          <w:color w:val="222222"/>
          <w:sz w:val="22"/>
        </w:rPr>
        <w:t>Nhà nước Cộng hòa xã hội chủ nghĩa Việt Nam là Nhà nước pháp quyền xã hội chủ nghĩa của Nhân dân, do Nhân dân, vì Nhân dân. Tất cả quyền lực nhà nước thuộc về Nhân dân; nền tảng là liên minh giữa giai cấp công nhân với giai cấp nông dân và đội ngũ trí thức.</w:t>
      </w:r>
    </w:p>
    <w:p>
      <w:pPr>
        <w:pStyle w:val="Heading3"/>
      </w:pPr>
      <w:r>
        <w:t>Đặc trưng</w:t>
      </w:r>
    </w:p>
    <w:p>
      <w:pPr>
        <w:pStyle w:val="ListBullet"/>
        <w:spacing w:after="60"/>
      </w:pPr>
      <w:r>
        <w:rPr>
          <w:rFonts w:ascii="Arial" w:hAnsi="Arial" w:eastAsia="Arial"/>
          <w:color w:val="222222"/>
          <w:sz w:val="22"/>
        </w:rPr>
        <w:t>Quyền lực nhà nước là thống nhất, có sự phân công, phối hợp và kiểm soát giữa các cơ quan thực hiện quyền lập pháp, hành pháp và tư pháp.</w:t>
      </w:r>
    </w:p>
    <w:p>
      <w:pPr>
        <w:pStyle w:val="ListBullet"/>
        <w:spacing w:after="60"/>
      </w:pPr>
      <w:r>
        <w:rPr>
          <w:rFonts w:ascii="Arial" w:hAnsi="Arial" w:eastAsia="Arial"/>
          <w:color w:val="222222"/>
          <w:sz w:val="22"/>
        </w:rPr>
        <w:t>Nhà nước tổ chức và hoạt động theo Hiến pháp, pháp luật; quản lý xã hội bằng Hiến pháp và pháp luật.</w:t>
      </w:r>
    </w:p>
    <w:p>
      <w:pPr>
        <w:pStyle w:val="ListBullet"/>
        <w:spacing w:after="60"/>
      </w:pPr>
      <w:r>
        <w:rPr>
          <w:rFonts w:ascii="Arial" w:hAnsi="Arial" w:eastAsia="Arial"/>
          <w:color w:val="222222"/>
          <w:sz w:val="22"/>
        </w:rPr>
        <w:t>Công nhận, tôn trọng, bảo vệ và bảo đảm quyền con người, quyền công dân.</w:t>
      </w:r>
    </w:p>
    <w:p>
      <w:pPr>
        <w:pStyle w:val="ListBullet"/>
        <w:spacing w:after="60"/>
      </w:pPr>
      <w:r>
        <w:rPr>
          <w:rFonts w:ascii="Arial" w:hAnsi="Arial" w:eastAsia="Arial"/>
          <w:color w:val="222222"/>
          <w:sz w:val="22"/>
        </w:rPr>
        <w:t>Đảng Cộng sản Việt Nam lãnh đạo Nhà nước và xã hội, gắn bó và chịu sự giám sát của Nhân dân, chịu trách nhiệm trước Nhân dân về quyết định của mình.</w:t>
      </w:r>
    </w:p>
    <w:p>
      <w:pPr>
        <w:pStyle w:val="ListBullet"/>
        <w:spacing w:after="60"/>
      </w:pPr>
      <w:r>
        <w:rPr>
          <w:rFonts w:ascii="Arial" w:hAnsi="Arial" w:eastAsia="Arial"/>
          <w:color w:val="222222"/>
          <w:sz w:val="22"/>
        </w:rPr>
        <w:t>Thực hiện đại đoàn kết dân tộc, bình đẳng giữa các dân tộc và đường lối đối ngoại hòa bình, hợp tác.</w:t>
      </w:r>
    </w:p>
    <w:p>
      <w:pPr>
        <w:pStyle w:val="Heading3"/>
      </w:pPr>
      <w:r>
        <w:t>Lưu ý</w:t>
      </w:r>
    </w:p>
    <w:p>
      <w:pPr>
        <w:jc w:val="both"/>
      </w:pPr>
      <w:r>
        <w:rPr>
          <w:rFonts w:ascii="Arial" w:hAnsi="Arial" w:eastAsia="Arial"/>
          <w:color w:val="222222"/>
          <w:sz w:val="22"/>
        </w:rPr>
        <w:t>Không dùng tám đặc trưng của “xã hội xã hội chủ nghĩa” để thay thế hoàn toàn cho đặc trưng của Nhà nước Việt Nam.</w:t>
      </w:r>
    </w:p>
    <w:p>
      <w:pPr>
        <w:pStyle w:val="Heading3"/>
      </w:pPr>
      <w:r>
        <w:t>Cơ sở pháp lý</w:t>
      </w:r>
    </w:p>
    <w:p>
      <w:r>
        <w:rPr>
          <w:rFonts w:ascii="Arial" w:hAnsi="Arial" w:eastAsia="Arial"/>
          <w:color w:val="222222"/>
          <w:sz w:val="22"/>
        </w:rPr>
        <w:t>Điều 2, Điều 3, Điều 4, Điều 6 và Điều 8 Hiến pháp năm 2013; nội dung sửa đổi Hiến pháp năm 2025.</w:t>
      </w:r>
    </w:p>
    <w:p>
      <w:pPr>
        <w:pStyle w:val="Heading3"/>
      </w:pPr>
      <w:r>
        <w:t>Phân tích chi tiết</w:t>
      </w:r>
    </w:p>
    <w:p>
      <w:pPr>
        <w:pStyle w:val="ListBullet"/>
        <w:spacing w:after="60"/>
      </w:pPr>
      <w:r>
        <w:rPr>
          <w:rFonts w:ascii="Arial" w:hAnsi="Arial" w:eastAsia="Arial"/>
          <w:color w:val="222222"/>
          <w:sz w:val="22"/>
        </w:rPr>
        <w:t>Bản chất của Nhà nước Việt Nam được thể hiện trước hết ở nguyên tắc Nhà nước pháp quyền xã hội chủ nghĩa của Nhân dân, do Nhân dân và vì Nhân dân. Nhân dân là chủ thể tối cao của quyền lực nhà nước, thực hiện quyền lực bằng dân chủ trực tiếp và dân chủ đại diện.</w:t>
      </w:r>
    </w:p>
    <w:p>
      <w:pPr>
        <w:pStyle w:val="ListBullet"/>
        <w:spacing w:after="60"/>
      </w:pPr>
      <w:r>
        <w:rPr>
          <w:rFonts w:ascii="Arial" w:hAnsi="Arial" w:eastAsia="Arial"/>
          <w:color w:val="222222"/>
          <w:sz w:val="22"/>
        </w:rPr>
        <w:t>Nền tảng xã hội của quyền lực nhà nước là liên minh giữa giai cấp công nhân với giai cấp nông dân và đội ngũ trí thức. Nhà nước đại diện cho lợi ích của Nhân dân và các dân tộc trên lãnh thổ Việt Nam.</w:t>
      </w:r>
    </w:p>
    <w:p>
      <w:pPr>
        <w:pStyle w:val="ListBullet"/>
        <w:spacing w:after="60"/>
      </w:pPr>
      <w:r>
        <w:rPr>
          <w:rFonts w:ascii="Arial" w:hAnsi="Arial" w:eastAsia="Arial"/>
          <w:color w:val="222222"/>
          <w:sz w:val="22"/>
        </w:rPr>
        <w:t>Quyền lực nhà nước là thống nhất nhưng có phân công, phối hợp và kiểm soát giữa các cơ quan thực hiện quyền lập pháp, hành pháp và tư pháp. “Thống nhất” không có nghĩa mọi quyền tập trung không giới hạn vào một cơ quan.</w:t>
      </w:r>
    </w:p>
    <w:p>
      <w:pPr>
        <w:pStyle w:val="ListBullet"/>
        <w:spacing w:after="60"/>
      </w:pPr>
      <w:r>
        <w:rPr>
          <w:rFonts w:ascii="Arial" w:hAnsi="Arial" w:eastAsia="Arial"/>
          <w:color w:val="222222"/>
          <w:sz w:val="22"/>
        </w:rPr>
        <w:t>Nhà nước tổ chức và hoạt động theo Hiến pháp và pháp luật; cơ quan, cán bộ, công chức phải tôn trọng Nhân dân, chịu sự giám sát và chịu trách nhiệm trước Nhân dân. Đây là biểu hiện quan trọng của tính pháp quyền.</w:t>
      </w:r>
    </w:p>
    <w:p>
      <w:pPr>
        <w:pStyle w:val="ListBullet"/>
        <w:spacing w:after="60"/>
      </w:pPr>
      <w:r>
        <w:rPr>
          <w:rFonts w:ascii="Arial" w:hAnsi="Arial" w:eastAsia="Arial"/>
          <w:color w:val="222222"/>
          <w:sz w:val="22"/>
        </w:rPr>
        <w:t>Nhà nước công nhận, tôn trọng, bảo vệ và bảo đảm quyền con người, quyền công dân; thực hiện mục tiêu dân giàu, nước mạnh, dân chủ, công bằng, văn minh và chính sách đại đoàn kết dân tộc.</w:t>
      </w:r>
    </w:p>
    <w:p>
      <w:pPr>
        <w:pStyle w:val="ListBullet"/>
        <w:spacing w:after="60"/>
      </w:pPr>
      <w:r>
        <w:rPr>
          <w:rFonts w:ascii="Arial" w:hAnsi="Arial" w:eastAsia="Arial"/>
          <w:color w:val="222222"/>
          <w:sz w:val="22"/>
        </w:rPr>
        <w:t>Đảng Cộng sản Việt Nam lãnh đạo Nhà nước và xã hội, đồng thời hoạt động trong khuôn khổ Hiến pháp, pháp luật, gắn bó với Nhân dân, chịu sự giám sát và chịu trách nhiệm trước Nhân dân.</w:t>
      </w:r>
    </w:p>
    <w:p>
      <w:pPr>
        <w:pStyle w:val="Heading3"/>
      </w:pPr>
      <w:r>
        <w:t>Ví dụ minh họa</w:t>
      </w:r>
    </w:p>
    <w:p>
      <w:pPr>
        <w:jc w:val="both"/>
      </w:pPr>
      <w:r>
        <w:rPr>
          <w:rFonts w:ascii="Arial" w:hAnsi="Arial" w:eastAsia="Arial"/>
          <w:color w:val="222222"/>
          <w:sz w:val="22"/>
        </w:rPr>
        <w:t>Nhân dân bầu đại biểu Quốc hội và HĐND là dân chủ đại diện; biểu quyết khi Nhà nước tổ chức trưng cầu ý dân là dân chủ trực tiếp.</w:t>
      </w:r>
    </w:p>
    <w:p>
      <w:pPr>
        <w:pStyle w:val="Heading3"/>
      </w:pPr>
      <w:r>
        <w:t>Những lỗi dễ mất điểm</w:t>
      </w:r>
    </w:p>
    <w:p>
      <w:pPr>
        <w:pStyle w:val="ListBullet"/>
        <w:spacing w:after="60"/>
      </w:pPr>
      <w:r>
        <w:rPr>
          <w:rFonts w:ascii="Arial" w:hAnsi="Arial" w:eastAsia="Arial"/>
          <w:color w:val="222222"/>
          <w:sz w:val="22"/>
        </w:rPr>
        <w:t>Dùng tám đặc trưng của xã hội XHCN thay cho đặc trưng của Nhà nước.</w:t>
      </w:r>
    </w:p>
    <w:p>
      <w:pPr>
        <w:pStyle w:val="ListBullet"/>
        <w:spacing w:after="60"/>
      </w:pPr>
      <w:r>
        <w:rPr>
          <w:rFonts w:ascii="Arial" w:hAnsi="Arial" w:eastAsia="Arial"/>
          <w:color w:val="222222"/>
          <w:sz w:val="22"/>
        </w:rPr>
        <w:t>Bỏ cơ chế kiểm soát quyền lực.</w:t>
      </w:r>
    </w:p>
    <w:p>
      <w:pPr>
        <w:pStyle w:val="ListBullet"/>
        <w:spacing w:after="60"/>
      </w:pPr>
      <w:r>
        <w:rPr>
          <w:rFonts w:ascii="Arial" w:hAnsi="Arial" w:eastAsia="Arial"/>
          <w:color w:val="222222"/>
          <w:sz w:val="22"/>
        </w:rPr>
        <w:t>Chỉ viết “của dân, do dân, vì dân” mà không phân tích.</w:t>
      </w:r>
    </w:p>
    <w:p>
      <w:pPr>
        <w:pStyle w:val="Heading3"/>
      </w:pPr>
      <w:r>
        <w:t>Dàn ý trả lời khi thi</w:t>
      </w:r>
    </w:p>
    <w:p>
      <w:pPr>
        <w:pStyle w:val="ListNumber"/>
        <w:spacing w:after="60"/>
      </w:pPr>
      <w:r>
        <w:rPr>
          <w:rFonts w:ascii="Arial" w:hAnsi="Arial" w:eastAsia="Arial"/>
          <w:color w:val="222222"/>
          <w:sz w:val="22"/>
        </w:rPr>
        <w:t>Trích bản chất hiến định.</w:t>
      </w:r>
    </w:p>
    <w:p>
      <w:pPr>
        <w:pStyle w:val="ListNumber"/>
        <w:spacing w:after="60"/>
      </w:pPr>
      <w:r>
        <w:rPr>
          <w:rFonts w:ascii="Arial" w:hAnsi="Arial" w:eastAsia="Arial"/>
          <w:color w:val="222222"/>
          <w:sz w:val="22"/>
        </w:rPr>
        <w:t>Phân tích chủ quyền Nhân dân.</w:t>
      </w:r>
    </w:p>
    <w:p>
      <w:pPr>
        <w:pStyle w:val="ListNumber"/>
        <w:spacing w:after="60"/>
      </w:pPr>
      <w:r>
        <w:rPr>
          <w:rFonts w:ascii="Arial" w:hAnsi="Arial" w:eastAsia="Arial"/>
          <w:color w:val="222222"/>
          <w:sz w:val="22"/>
        </w:rPr>
        <w:t>Phân tích Nhà nước pháp quyền và kiểm soát quyền lực.</w:t>
      </w:r>
    </w:p>
    <w:p>
      <w:pPr>
        <w:pStyle w:val="ListNumber"/>
        <w:spacing w:after="60"/>
      </w:pPr>
      <w:r>
        <w:rPr>
          <w:rFonts w:ascii="Arial" w:hAnsi="Arial" w:eastAsia="Arial"/>
          <w:color w:val="222222"/>
          <w:sz w:val="22"/>
        </w:rPr>
        <w:t>Quyền con người, đại đoàn kết, Đảng lãnh đạo.</w:t>
      </w:r>
    </w:p>
    <w:p>
      <w:pPr>
        <w:pStyle w:val="ListNumber"/>
        <w:spacing w:after="60"/>
      </w:pPr>
      <w:r>
        <w:rPr>
          <w:rFonts w:ascii="Arial" w:hAnsi="Arial" w:eastAsia="Arial"/>
          <w:color w:val="222222"/>
          <w:sz w:val="22"/>
        </w:rPr>
        <w:t>Kết luận.</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Nhân dân; pháp quyền XHCN; quyền lực thống nhất; phân công–phối hợp–kiểm soát; quyền con người; Đảng lãnh đạo</w:t>
            </w:r>
          </w:p>
        </w:tc>
      </w:tr>
    </w:tbl>
    <w:p>
      <w:pPr>
        <w:spacing w:after="0"/>
      </w:pPr>
    </w:p>
    <w:p>
      <w:pPr>
        <w:pStyle w:val="Heading2"/>
      </w:pPr>
      <w:r>
        <w:t>Câu 4. Khái niệm và các nguyên tắc cơ bản của Luật Hình sự</w:t>
      </w:r>
    </w:p>
    <w:p>
      <w:pPr>
        <w:pStyle w:val="Heading3"/>
      </w:pPr>
      <w:r>
        <w:t>Khái niệm</w:t>
      </w:r>
    </w:p>
    <w:p>
      <w:pPr>
        <w:jc w:val="both"/>
      </w:pPr>
      <w:r>
        <w:rPr>
          <w:rFonts w:ascii="Arial" w:hAnsi="Arial" w:eastAsia="Arial"/>
          <w:color w:val="222222"/>
          <w:sz w:val="22"/>
        </w:rPr>
        <w:t>Luật Hình sự là ngành luật gồm các quy phạm xác định hành vi nào là tội phạm, quy định hình phạt, biện pháp tư pháp, căn cứ trách nhiệm hình sự và các vấn đề liên quan.</w:t>
      </w:r>
    </w:p>
    <w:p>
      <w:pPr>
        <w:pStyle w:val="Heading3"/>
      </w:pPr>
      <w:r>
        <w:t>Nguyên tắc</w:t>
      </w:r>
    </w:p>
    <w:p>
      <w:pPr>
        <w:pStyle w:val="ListBullet"/>
        <w:spacing w:after="60"/>
      </w:pPr>
      <w:r>
        <w:rPr>
          <w:rFonts w:ascii="Arial" w:hAnsi="Arial" w:eastAsia="Arial"/>
          <w:color w:val="222222"/>
          <w:sz w:val="22"/>
        </w:rPr>
        <w:t>Pháp chế: chỉ Bộ luật Hình sự mới quy định tội phạm và hình phạt; xử lý đúng căn cứ, thẩm quyền và thủ tục.</w:t>
      </w:r>
    </w:p>
    <w:p>
      <w:pPr>
        <w:pStyle w:val="ListBullet"/>
        <w:spacing w:after="60"/>
      </w:pPr>
      <w:r>
        <w:rPr>
          <w:rFonts w:ascii="Arial" w:hAnsi="Arial" w:eastAsia="Arial"/>
          <w:color w:val="222222"/>
          <w:sz w:val="22"/>
        </w:rPr>
        <w:t>Bình đẳng trước pháp luật hình sự.</w:t>
      </w:r>
    </w:p>
    <w:p>
      <w:pPr>
        <w:pStyle w:val="ListBullet"/>
        <w:spacing w:after="60"/>
      </w:pPr>
      <w:r>
        <w:rPr>
          <w:rFonts w:ascii="Arial" w:hAnsi="Arial" w:eastAsia="Arial"/>
          <w:color w:val="222222"/>
          <w:sz w:val="22"/>
        </w:rPr>
        <w:t>Có lỗi: không có lỗi thì không có trách nhiệm hình sự.</w:t>
      </w:r>
    </w:p>
    <w:p>
      <w:pPr>
        <w:pStyle w:val="ListBullet"/>
        <w:spacing w:after="60"/>
      </w:pPr>
      <w:r>
        <w:rPr>
          <w:rFonts w:ascii="Arial" w:hAnsi="Arial" w:eastAsia="Arial"/>
          <w:color w:val="222222"/>
          <w:sz w:val="22"/>
        </w:rPr>
        <w:t>Cá thể hóa trách nhiệm và hình phạt theo tính chất hành vi, nhân thân và tình tiết vụ án.</w:t>
      </w:r>
    </w:p>
    <w:p>
      <w:pPr>
        <w:pStyle w:val="ListBullet"/>
        <w:spacing w:after="60"/>
      </w:pPr>
      <w:r>
        <w:rPr>
          <w:rFonts w:ascii="Arial" w:hAnsi="Arial" w:eastAsia="Arial"/>
          <w:color w:val="222222"/>
          <w:sz w:val="22"/>
        </w:rPr>
        <w:t>Công bằng, nhân đạo; hình phạt không nhằm trả thù hoặc hạ thấp nhân phẩm.</w:t>
      </w:r>
    </w:p>
    <w:p>
      <w:pPr>
        <w:pStyle w:val="ListBullet"/>
        <w:spacing w:after="60"/>
      </w:pPr>
      <w:r>
        <w:rPr>
          <w:rFonts w:ascii="Arial" w:hAnsi="Arial" w:eastAsia="Arial"/>
          <w:color w:val="222222"/>
          <w:sz w:val="22"/>
        </w:rPr>
        <w:t>Trách nhiệm hình sự không chỉ áp dụng với cá nhân; pháp nhân thương mại có thể chịu trách nhiệm đối với các tội luật định.</w:t>
      </w:r>
    </w:p>
    <w:p>
      <w:pPr>
        <w:pStyle w:val="Heading3"/>
      </w:pPr>
      <w:r>
        <w:t>Cơ sở pháp lý</w:t>
      </w:r>
    </w:p>
    <w:p>
      <w:r>
        <w:rPr>
          <w:rFonts w:ascii="Arial" w:hAnsi="Arial" w:eastAsia="Arial"/>
          <w:color w:val="222222"/>
          <w:sz w:val="22"/>
        </w:rPr>
        <w:t>Bộ luật Hình sự năm 2015, Luật sửa đổi năm 2017 và Luật số 86/2025/QH15.</w:t>
      </w:r>
    </w:p>
    <w:p>
      <w:pPr>
        <w:pStyle w:val="Heading3"/>
      </w:pPr>
      <w:r>
        <w:t>Phân tích chi tiết</w:t>
      </w:r>
    </w:p>
    <w:p>
      <w:pPr>
        <w:pStyle w:val="ListBullet"/>
        <w:spacing w:after="60"/>
      </w:pPr>
      <w:r>
        <w:rPr>
          <w:rFonts w:ascii="Arial" w:hAnsi="Arial" w:eastAsia="Arial"/>
          <w:color w:val="222222"/>
          <w:sz w:val="22"/>
        </w:rPr>
        <w:t>Nguyên tắc pháp chế hình sự được thể hiện ở yêu cầu chỉ BLHS mới có thể quy định tội phạm và hình phạt; không được áp dụng tương tự pháp luật để kết tội; việc truy cứu và quyết định hình phạt phải đúng căn cứ và thủ tục.</w:t>
      </w:r>
    </w:p>
    <w:p>
      <w:pPr>
        <w:pStyle w:val="ListBullet"/>
        <w:spacing w:after="60"/>
      </w:pPr>
      <w:r>
        <w:rPr>
          <w:rFonts w:ascii="Arial" w:hAnsi="Arial" w:eastAsia="Arial"/>
          <w:color w:val="222222"/>
          <w:sz w:val="22"/>
        </w:rPr>
        <w:t>Bình đẳng trước pháp luật hình sự có nghĩa mọi người, pháp nhân thương mại khi đủ điều kiện đều bị xử lý theo luật, không phân biệt giới tính, dân tộc, tín ngưỡng, nghề nghiệp hoặc địa vị. Bình đẳng không có nghĩa áp dụng một mức hình phạt giống nhau cho mọi trường hợp.</w:t>
      </w:r>
    </w:p>
    <w:p>
      <w:pPr>
        <w:pStyle w:val="ListBullet"/>
        <w:spacing w:after="60"/>
      </w:pPr>
      <w:r>
        <w:rPr>
          <w:rFonts w:ascii="Arial" w:hAnsi="Arial" w:eastAsia="Arial"/>
          <w:color w:val="222222"/>
          <w:sz w:val="22"/>
        </w:rPr>
        <w:t>Trách nhiệm trên cơ sở có lỗi đòi hỏi chủ thể có khả năng nhận thức, điều khiển hành vi và có thái độ cố ý hoặc vô ý. Không thể chỉ dựa vào hậu quả để quy trách nhiệm hình sự.</w:t>
      </w:r>
    </w:p>
    <w:p>
      <w:pPr>
        <w:pStyle w:val="ListBullet"/>
        <w:spacing w:after="60"/>
      </w:pPr>
      <w:r>
        <w:rPr>
          <w:rFonts w:ascii="Arial" w:hAnsi="Arial" w:eastAsia="Arial"/>
          <w:color w:val="222222"/>
          <w:sz w:val="22"/>
        </w:rPr>
        <w:t>Cá thể hóa trách nhiệm và hình phạt yêu cầu xem xét tính chất, mức độ nguy hiểm, nhân thân, động cơ, mục đích, tình tiết tăng nặng, giảm nhẹ và khả năng giáo dục, phòng ngừa.</w:t>
      </w:r>
    </w:p>
    <w:p>
      <w:pPr>
        <w:pStyle w:val="ListBullet"/>
        <w:spacing w:after="60"/>
      </w:pPr>
      <w:r>
        <w:rPr>
          <w:rFonts w:ascii="Arial" w:hAnsi="Arial" w:eastAsia="Arial"/>
          <w:color w:val="222222"/>
          <w:sz w:val="22"/>
        </w:rPr>
        <w:t>Nguyên tắc công bằng, nhân đạo thể hiện ở việc không làm oan, không bỏ lọt tội phạm, hình phạt không nhằm hành hạ hoặc hạ thấp nhân phẩm, đồng thời tạo điều kiện để người phạm tội cải tạo và tái hòa nhập.</w:t>
      </w:r>
    </w:p>
    <w:p>
      <w:pPr>
        <w:pStyle w:val="ListBullet"/>
        <w:spacing w:after="60"/>
      </w:pPr>
      <w:r>
        <w:rPr>
          <w:rFonts w:ascii="Arial" w:hAnsi="Arial" w:eastAsia="Arial"/>
          <w:color w:val="222222"/>
          <w:sz w:val="22"/>
        </w:rPr>
        <w:t>Tài liệu cũ nói chỉ cá nhân chịu trách nhiệm là không còn chính xác. Pháp nhân thương mại có thể chịu trách nhiệm về các tội được BLHS liệt kê khi đủ điều kiện.</w:t>
      </w:r>
    </w:p>
    <w:p>
      <w:pPr>
        <w:pStyle w:val="Heading3"/>
      </w:pPr>
      <w:r>
        <w:t>Ví dụ minh họa</w:t>
      </w:r>
    </w:p>
    <w:p>
      <w:pPr>
        <w:jc w:val="both"/>
      </w:pPr>
      <w:r>
        <w:rPr>
          <w:rFonts w:ascii="Arial" w:hAnsi="Arial" w:eastAsia="Arial"/>
          <w:color w:val="222222"/>
          <w:sz w:val="22"/>
        </w:rPr>
        <w:t>Hai người cùng gây thiệt hại nhưng một người chủ mưu, một người giúp sức hạn chế và thành khẩn khắc phục thì hình phạt không nhất thiết bằng nhau; đây là cá thể hóa chứ không vi phạm bình đẳng.</w:t>
      </w:r>
    </w:p>
    <w:p>
      <w:pPr>
        <w:pStyle w:val="Heading3"/>
      </w:pPr>
      <w:r>
        <w:t>Những lỗi dễ mất điểm</w:t>
      </w:r>
    </w:p>
    <w:p>
      <w:pPr>
        <w:pStyle w:val="ListBullet"/>
        <w:spacing w:after="60"/>
      </w:pPr>
      <w:r>
        <w:rPr>
          <w:rFonts w:ascii="Arial" w:hAnsi="Arial" w:eastAsia="Arial"/>
          <w:color w:val="222222"/>
          <w:sz w:val="22"/>
        </w:rPr>
        <w:t>Phủ nhận trách nhiệm hình sự của pháp nhân thương mại.</w:t>
      </w:r>
    </w:p>
    <w:p>
      <w:pPr>
        <w:pStyle w:val="ListBullet"/>
        <w:spacing w:after="60"/>
      </w:pPr>
      <w:r>
        <w:rPr>
          <w:rFonts w:ascii="Arial" w:hAnsi="Arial" w:eastAsia="Arial"/>
          <w:color w:val="222222"/>
          <w:sz w:val="22"/>
        </w:rPr>
        <w:t>Hiểu nhân đạo là không xử lý nghiêm.</w:t>
      </w:r>
    </w:p>
    <w:p>
      <w:pPr>
        <w:pStyle w:val="ListBullet"/>
        <w:spacing w:after="60"/>
      </w:pPr>
      <w:r>
        <w:rPr>
          <w:rFonts w:ascii="Arial" w:hAnsi="Arial" w:eastAsia="Arial"/>
          <w:color w:val="222222"/>
          <w:sz w:val="22"/>
        </w:rPr>
        <w:t>Nêu tên nguyên tắc nhưng không phân tích nội dung.</w:t>
      </w:r>
    </w:p>
    <w:p>
      <w:pPr>
        <w:pStyle w:val="Heading3"/>
      </w:pPr>
      <w:r>
        <w:t>Dàn ý trả lời khi thi</w:t>
      </w:r>
    </w:p>
    <w:p>
      <w:pPr>
        <w:pStyle w:val="ListNumber"/>
        <w:spacing w:after="60"/>
      </w:pPr>
      <w:r>
        <w:rPr>
          <w:rFonts w:ascii="Arial" w:hAnsi="Arial" w:eastAsia="Arial"/>
          <w:color w:val="222222"/>
          <w:sz w:val="22"/>
        </w:rPr>
        <w:t>Khái niệm Luật Hình sự.</w:t>
      </w:r>
    </w:p>
    <w:p>
      <w:pPr>
        <w:pStyle w:val="ListNumber"/>
        <w:spacing w:after="60"/>
      </w:pPr>
      <w:r>
        <w:rPr>
          <w:rFonts w:ascii="Arial" w:hAnsi="Arial" w:eastAsia="Arial"/>
          <w:color w:val="222222"/>
          <w:sz w:val="22"/>
        </w:rPr>
        <w:t>Pháp chế.</w:t>
      </w:r>
    </w:p>
    <w:p>
      <w:pPr>
        <w:pStyle w:val="ListNumber"/>
        <w:spacing w:after="60"/>
      </w:pPr>
      <w:r>
        <w:rPr>
          <w:rFonts w:ascii="Arial" w:hAnsi="Arial" w:eastAsia="Arial"/>
          <w:color w:val="222222"/>
          <w:sz w:val="22"/>
        </w:rPr>
        <w:t>Bình đẳng.</w:t>
      </w:r>
    </w:p>
    <w:p>
      <w:pPr>
        <w:pStyle w:val="ListNumber"/>
        <w:spacing w:after="60"/>
      </w:pPr>
      <w:r>
        <w:rPr>
          <w:rFonts w:ascii="Arial" w:hAnsi="Arial" w:eastAsia="Arial"/>
          <w:color w:val="222222"/>
          <w:sz w:val="22"/>
        </w:rPr>
        <w:t>Có lỗi và cá thể hóa.</w:t>
      </w:r>
    </w:p>
    <w:p>
      <w:pPr>
        <w:pStyle w:val="ListNumber"/>
        <w:spacing w:after="60"/>
      </w:pPr>
      <w:r>
        <w:rPr>
          <w:rFonts w:ascii="Arial" w:hAnsi="Arial" w:eastAsia="Arial"/>
          <w:color w:val="222222"/>
          <w:sz w:val="22"/>
        </w:rPr>
        <w:t>Công bằng, nhân đạo.</w:t>
      </w:r>
    </w:p>
    <w:p>
      <w:pPr>
        <w:pStyle w:val="ListNumber"/>
        <w:spacing w:after="60"/>
      </w:pPr>
      <w:r>
        <w:rPr>
          <w:rFonts w:ascii="Arial" w:hAnsi="Arial" w:eastAsia="Arial"/>
          <w:color w:val="222222"/>
          <w:sz w:val="22"/>
        </w:rPr>
        <w:t>Lưu ý pháp nhân thương mại.</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tội phạm; hình phạt; pháp chế; bình đẳng; có lỗi; cá thể hóa; công bằng; nhân đạo; pháp nhân thương mại</w:t>
            </w:r>
          </w:p>
        </w:tc>
      </w:tr>
    </w:tbl>
    <w:p>
      <w:pPr>
        <w:spacing w:after="0"/>
      </w:pPr>
    </w:p>
    <w:p>
      <w:pPr>
        <w:pStyle w:val="Heading2"/>
      </w:pPr>
      <w:r>
        <w:t>Câu 5. Quan hệ pháp luật: khái niệm, đặc điểm và các yếu tố cấu thành</w:t>
      </w:r>
    </w:p>
    <w:p>
      <w:pPr>
        <w:pStyle w:val="Heading3"/>
      </w:pPr>
      <w:r>
        <w:t>Khái niệm</w:t>
      </w:r>
    </w:p>
    <w:p>
      <w:pPr>
        <w:jc w:val="both"/>
      </w:pPr>
      <w:r>
        <w:rPr>
          <w:rFonts w:ascii="Arial" w:hAnsi="Arial" w:eastAsia="Arial"/>
          <w:color w:val="222222"/>
          <w:sz w:val="22"/>
        </w:rPr>
        <w:t>Quan hệ pháp luật là quan hệ xã hội được quy phạm pháp luật điều chỉnh, trong đó các bên có quyền và nghĩa vụ pháp lý được Nhà nước bảo đảm thực hiện.</w:t>
      </w:r>
    </w:p>
    <w:p>
      <w:pPr>
        <w:pStyle w:val="Heading3"/>
      </w:pPr>
      <w:r>
        <w:t>Đặc điểm</w:t>
      </w:r>
    </w:p>
    <w:p>
      <w:pPr>
        <w:pStyle w:val="ListBullet"/>
        <w:spacing w:after="60"/>
      </w:pPr>
      <w:r>
        <w:rPr>
          <w:rFonts w:ascii="Arial" w:hAnsi="Arial" w:eastAsia="Arial"/>
          <w:color w:val="222222"/>
          <w:sz w:val="22"/>
        </w:rPr>
        <w:t>Phát sinh trên cơ sở quy phạm pháp luật và sự kiện pháp lý.</w:t>
      </w:r>
    </w:p>
    <w:p>
      <w:pPr>
        <w:pStyle w:val="ListBullet"/>
        <w:spacing w:after="60"/>
      </w:pPr>
      <w:r>
        <w:rPr>
          <w:rFonts w:ascii="Arial" w:hAnsi="Arial" w:eastAsia="Arial"/>
          <w:color w:val="222222"/>
          <w:sz w:val="22"/>
        </w:rPr>
        <w:t>Mang tính ý chí; có chủ thể xác định.</w:t>
      </w:r>
    </w:p>
    <w:p>
      <w:pPr>
        <w:pStyle w:val="ListBullet"/>
        <w:spacing w:after="60"/>
      </w:pPr>
      <w:r>
        <w:rPr>
          <w:rFonts w:ascii="Arial" w:hAnsi="Arial" w:eastAsia="Arial"/>
          <w:color w:val="222222"/>
          <w:sz w:val="22"/>
        </w:rPr>
        <w:t>Các bên có quyền chủ thể và nghĩa vụ pháp lý tương ứng.</w:t>
      </w:r>
    </w:p>
    <w:p>
      <w:pPr>
        <w:pStyle w:val="ListBullet"/>
        <w:spacing w:after="60"/>
      </w:pPr>
      <w:r>
        <w:rPr>
          <w:rFonts w:ascii="Arial" w:hAnsi="Arial" w:eastAsia="Arial"/>
          <w:color w:val="222222"/>
          <w:sz w:val="22"/>
        </w:rPr>
        <w:t>Được Nhà nước bảo đảm thực hiện.</w:t>
      </w:r>
    </w:p>
    <w:p>
      <w:pPr>
        <w:pStyle w:val="Heading3"/>
      </w:pPr>
      <w:r>
        <w:t>Các yếu tố</w:t>
      </w:r>
    </w:p>
    <w:p>
      <w:pPr>
        <w:pStyle w:val="ListBullet"/>
        <w:spacing w:after="60"/>
      </w:pPr>
      <w:r>
        <w:rPr>
          <w:rFonts w:ascii="Arial" w:hAnsi="Arial" w:eastAsia="Arial"/>
          <w:color w:val="222222"/>
          <w:sz w:val="22"/>
        </w:rPr>
        <w:t>Chủ thể: cá nhân, pháp nhân, tổ chức hoặc Nhà nước có năng lực chủ thể phù hợp. Pháp nhân phải đáp ứng Điều 74 BLDS 2015.</w:t>
      </w:r>
    </w:p>
    <w:p>
      <w:pPr>
        <w:pStyle w:val="ListBullet"/>
        <w:spacing w:after="60"/>
      </w:pPr>
      <w:r>
        <w:rPr>
          <w:rFonts w:ascii="Arial" w:hAnsi="Arial" w:eastAsia="Arial"/>
          <w:color w:val="222222"/>
          <w:sz w:val="22"/>
        </w:rPr>
        <w:t>Nội dung: quyền chủ thể và nghĩa vụ pháp lý.</w:t>
      </w:r>
    </w:p>
    <w:p>
      <w:pPr>
        <w:pStyle w:val="ListBullet"/>
        <w:spacing w:after="60"/>
      </w:pPr>
      <w:r>
        <w:rPr>
          <w:rFonts w:ascii="Arial" w:hAnsi="Arial" w:eastAsia="Arial"/>
          <w:color w:val="222222"/>
          <w:sz w:val="22"/>
        </w:rPr>
        <w:t>Khách thể: lợi ích vật chất, tinh thần hoặc kết quả hành vi mà các chủ thể hướng tới.</w:t>
      </w:r>
    </w:p>
    <w:p>
      <w:pPr>
        <w:pStyle w:val="Heading3"/>
      </w:pPr>
      <w:r>
        <w:t>Cơ sở pháp lý</w:t>
      </w:r>
    </w:p>
    <w:p>
      <w:r>
        <w:rPr>
          <w:rFonts w:ascii="Arial" w:hAnsi="Arial" w:eastAsia="Arial"/>
          <w:color w:val="222222"/>
          <w:sz w:val="22"/>
        </w:rPr>
        <w:t>Lý luận Nhà nước và pháp luật; Điều 16–24 và Điều 74 Bộ luật Dân sự 2015 về năng lực chủ thể và pháp nhân.</w:t>
      </w:r>
    </w:p>
    <w:p>
      <w:pPr>
        <w:pStyle w:val="Heading3"/>
      </w:pPr>
      <w:r>
        <w:t>Phân tích chi tiết</w:t>
      </w:r>
    </w:p>
    <w:p>
      <w:pPr>
        <w:pStyle w:val="ListBullet"/>
        <w:spacing w:after="60"/>
      </w:pPr>
      <w:r>
        <w:rPr>
          <w:rFonts w:ascii="Arial" w:hAnsi="Arial" w:eastAsia="Arial"/>
          <w:color w:val="222222"/>
          <w:sz w:val="22"/>
        </w:rPr>
        <w:t>Quan hệ pháp luật không tự phát sinh chỉ vì có quy phạm. Thông thường cần có quy phạm điều chỉnh, chủ thể có năng lực phù hợp và sự kiện pháp lý như giao kết hợp đồng, gây thiệt hại, sinh, chết hoặc quyết định của cơ quan có thẩm quyền.</w:t>
      </w:r>
    </w:p>
    <w:p>
      <w:pPr>
        <w:pStyle w:val="ListBullet"/>
        <w:spacing w:after="60"/>
      </w:pPr>
      <w:r>
        <w:rPr>
          <w:rFonts w:ascii="Arial" w:hAnsi="Arial" w:eastAsia="Arial"/>
          <w:color w:val="222222"/>
          <w:sz w:val="22"/>
        </w:rPr>
        <w:t>Chủ thể là cá nhân, pháp nhân, tổ chức hoặc Nhà nước tham gia quan hệ với quyền và nghĩa vụ xác định. Năng lực pháp luật là khả năng có quyền, nghĩa vụ; năng lực hành vi là khả năng bằng hành vi của mình xác lập, thực hiện quyền, nghĩa vụ.</w:t>
      </w:r>
    </w:p>
    <w:p>
      <w:pPr>
        <w:pStyle w:val="ListBullet"/>
        <w:spacing w:after="60"/>
      </w:pPr>
      <w:r>
        <w:rPr>
          <w:rFonts w:ascii="Arial" w:hAnsi="Arial" w:eastAsia="Arial"/>
          <w:color w:val="222222"/>
          <w:sz w:val="22"/>
        </w:rPr>
        <w:t>Năng lực hành vi không giống nhau ở mọi ngành luật. Một người có thể đủ năng lực thực hiện giao dịch dân sự thông thường nhưng chưa đủ tuổi kết hôn hoặc chịu trách nhiệm với một tội cụ thể.</w:t>
      </w:r>
    </w:p>
    <w:p>
      <w:pPr>
        <w:pStyle w:val="ListBullet"/>
        <w:spacing w:after="60"/>
      </w:pPr>
      <w:r>
        <w:rPr>
          <w:rFonts w:ascii="Arial" w:hAnsi="Arial" w:eastAsia="Arial"/>
          <w:color w:val="222222"/>
          <w:sz w:val="22"/>
        </w:rPr>
        <w:t>Nội dung quan hệ gồm quyền chủ thể và nghĩa vụ pháp lý tương ứng. Quyền có thể bao gồm tự xử sự, yêu cầu bên kia thực hiện và yêu cầu cơ quan có thẩm quyền bảo vệ.</w:t>
      </w:r>
    </w:p>
    <w:p>
      <w:pPr>
        <w:pStyle w:val="ListBullet"/>
        <w:spacing w:after="60"/>
      </w:pPr>
      <w:r>
        <w:rPr>
          <w:rFonts w:ascii="Arial" w:hAnsi="Arial" w:eastAsia="Arial"/>
          <w:color w:val="222222"/>
          <w:sz w:val="22"/>
        </w:rPr>
        <w:t>Khách thể là lợi ích vật chất, tinh thần hoặc kết quả hành vi mà các bên hướng tới. Khi phân tích tình huống không nên ghi khách thể là tên của một bên.</w:t>
      </w:r>
    </w:p>
    <w:p>
      <w:pPr>
        <w:pStyle w:val="ListBullet"/>
        <w:spacing w:after="60"/>
      </w:pPr>
      <w:r>
        <w:rPr>
          <w:rFonts w:ascii="Arial" w:hAnsi="Arial" w:eastAsia="Arial"/>
          <w:color w:val="222222"/>
          <w:sz w:val="22"/>
        </w:rPr>
        <w:t>Sự kiện pháp lý có thể là hành vi hợp pháp, hành vi vi phạm hoặc biến cố không phụ thuộc ý chí. Một sự kiện có thể làm phát sinh, thay đổi hoặc chấm dứt quan hệ.</w:t>
      </w:r>
    </w:p>
    <w:p>
      <w:pPr>
        <w:pStyle w:val="Heading3"/>
      </w:pPr>
      <w:r>
        <w:t>Ví dụ minh họa</w:t>
      </w:r>
    </w:p>
    <w:p>
      <w:pPr>
        <w:jc w:val="both"/>
      </w:pPr>
      <w:r>
        <w:rPr>
          <w:rFonts w:ascii="Arial" w:hAnsi="Arial" w:eastAsia="Arial"/>
          <w:color w:val="222222"/>
          <w:sz w:val="22"/>
        </w:rPr>
        <w:t>Trong hợp đồng vay, chủ thể là bên vay và bên cho vay; nội dung là quyền, nghĩa vụ giao và hoàn trả tiền; khách thể là lợi ích đạt được qua khoản vay; việc giao kết và đến hạn là các sự kiện pháp lý.</w:t>
      </w:r>
    </w:p>
    <w:p>
      <w:pPr>
        <w:pStyle w:val="Heading3"/>
      </w:pPr>
      <w:r>
        <w:t>Những lỗi dễ mất điểm</w:t>
      </w:r>
    </w:p>
    <w:p>
      <w:pPr>
        <w:pStyle w:val="ListBullet"/>
        <w:spacing w:after="60"/>
      </w:pPr>
      <w:r>
        <w:rPr>
          <w:rFonts w:ascii="Arial" w:hAnsi="Arial" w:eastAsia="Arial"/>
          <w:color w:val="222222"/>
          <w:sz w:val="22"/>
        </w:rPr>
        <w:t>Dùng thuật ngữ “năng lực pháp lý” thay cho hai khái niệm chuẩn.</w:t>
      </w:r>
    </w:p>
    <w:p>
      <w:pPr>
        <w:pStyle w:val="ListBullet"/>
        <w:spacing w:after="60"/>
      </w:pPr>
      <w:r>
        <w:rPr>
          <w:rFonts w:ascii="Arial" w:hAnsi="Arial" w:eastAsia="Arial"/>
          <w:color w:val="222222"/>
          <w:sz w:val="22"/>
        </w:rPr>
        <w:t>Ghi khách thể là người bị hại.</w:t>
      </w:r>
    </w:p>
    <w:p>
      <w:pPr>
        <w:pStyle w:val="ListBullet"/>
        <w:spacing w:after="60"/>
      </w:pPr>
      <w:r>
        <w:rPr>
          <w:rFonts w:ascii="Arial" w:hAnsi="Arial" w:eastAsia="Arial"/>
          <w:color w:val="222222"/>
          <w:sz w:val="22"/>
        </w:rPr>
        <w:t>Không nêu sự kiện pháp lý.</w:t>
      </w:r>
    </w:p>
    <w:p>
      <w:pPr>
        <w:pStyle w:val="Heading3"/>
      </w:pPr>
      <w:r>
        <w:t>Dàn ý trả lời khi thi</w:t>
      </w:r>
    </w:p>
    <w:p>
      <w:pPr>
        <w:pStyle w:val="ListNumber"/>
        <w:spacing w:after="60"/>
      </w:pPr>
      <w:r>
        <w:rPr>
          <w:rFonts w:ascii="Arial" w:hAnsi="Arial" w:eastAsia="Arial"/>
          <w:color w:val="222222"/>
          <w:sz w:val="22"/>
        </w:rPr>
        <w:t>Khái niệm.</w:t>
      </w:r>
    </w:p>
    <w:p>
      <w:pPr>
        <w:pStyle w:val="ListNumber"/>
        <w:spacing w:after="60"/>
      </w:pPr>
      <w:r>
        <w:rPr>
          <w:rFonts w:ascii="Arial" w:hAnsi="Arial" w:eastAsia="Arial"/>
          <w:color w:val="222222"/>
          <w:sz w:val="22"/>
        </w:rPr>
        <w:t>Đặc điểm.</w:t>
      </w:r>
    </w:p>
    <w:p>
      <w:pPr>
        <w:pStyle w:val="ListNumber"/>
        <w:spacing w:after="60"/>
      </w:pPr>
      <w:r>
        <w:rPr>
          <w:rFonts w:ascii="Arial" w:hAnsi="Arial" w:eastAsia="Arial"/>
          <w:color w:val="222222"/>
          <w:sz w:val="22"/>
        </w:rPr>
        <w:t>Chủ thể và năng lực.</w:t>
      </w:r>
    </w:p>
    <w:p>
      <w:pPr>
        <w:pStyle w:val="ListNumber"/>
        <w:spacing w:after="60"/>
      </w:pPr>
      <w:r>
        <w:rPr>
          <w:rFonts w:ascii="Arial" w:hAnsi="Arial" w:eastAsia="Arial"/>
          <w:color w:val="222222"/>
          <w:sz w:val="22"/>
        </w:rPr>
        <w:t>Nội dung quyền–nghĩa vụ.</w:t>
      </w:r>
    </w:p>
    <w:p>
      <w:pPr>
        <w:pStyle w:val="ListNumber"/>
        <w:spacing w:after="60"/>
      </w:pPr>
      <w:r>
        <w:rPr>
          <w:rFonts w:ascii="Arial" w:hAnsi="Arial" w:eastAsia="Arial"/>
          <w:color w:val="222222"/>
          <w:sz w:val="22"/>
        </w:rPr>
        <w:t>Khách thể.</w:t>
      </w:r>
    </w:p>
    <w:p>
      <w:pPr>
        <w:pStyle w:val="ListNumber"/>
        <w:spacing w:after="60"/>
      </w:pPr>
      <w:r>
        <w:rPr>
          <w:rFonts w:ascii="Arial" w:hAnsi="Arial" w:eastAsia="Arial"/>
          <w:color w:val="222222"/>
          <w:sz w:val="22"/>
        </w:rPr>
        <w:t>Sự kiện pháp lý và ví dụ.</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quy phạm pháp luật + sự kiện pháp lý; chủ thể; năng lực pháp luật; năng lực hành vi; nội dung; khách thể</w:t>
            </w:r>
          </w:p>
        </w:tc>
      </w:tr>
    </w:tbl>
    <w:p>
      <w:pPr>
        <w:spacing w:after="0"/>
      </w:pPr>
    </w:p>
    <w:p>
      <w:pPr>
        <w:pStyle w:val="Heading2"/>
      </w:pPr>
      <w:r>
        <w:t>Câu 6. Hình thức pháp luật và các loại hình thức pháp luật</w:t>
      </w:r>
    </w:p>
    <w:p>
      <w:pPr>
        <w:pStyle w:val="Heading3"/>
      </w:pPr>
      <w:r>
        <w:t>Khái niệm</w:t>
      </w:r>
    </w:p>
    <w:p>
      <w:pPr>
        <w:jc w:val="both"/>
      </w:pPr>
      <w:r>
        <w:rPr>
          <w:rFonts w:ascii="Arial" w:hAnsi="Arial" w:eastAsia="Arial"/>
          <w:color w:val="222222"/>
          <w:sz w:val="22"/>
        </w:rPr>
        <w:t>Hình thức pháp luật là cách thức biểu hiện ra bên ngoài của pháp luật, qua đó các quy tắc pháp lý được nhận biết và áp dụng.</w:t>
      </w:r>
    </w:p>
    <w:p>
      <w:pPr>
        <w:pStyle w:val="Heading3"/>
      </w:pPr>
      <w:r>
        <w:t>Các loại</w:t>
      </w:r>
    </w:p>
    <w:p>
      <w:pPr>
        <w:pStyle w:val="ListBullet"/>
        <w:spacing w:after="60"/>
      </w:pPr>
      <w:r>
        <w:rPr>
          <w:rFonts w:ascii="Arial" w:hAnsi="Arial" w:eastAsia="Arial"/>
          <w:color w:val="222222"/>
          <w:sz w:val="22"/>
        </w:rPr>
        <w:t>Tập quán pháp: tập quán được Nhà nước thừa nhận và bảo đảm thực hiện.</w:t>
      </w:r>
    </w:p>
    <w:p>
      <w:pPr>
        <w:pStyle w:val="ListBullet"/>
        <w:spacing w:after="60"/>
      </w:pPr>
      <w:r>
        <w:rPr>
          <w:rFonts w:ascii="Arial" w:hAnsi="Arial" w:eastAsia="Arial"/>
          <w:color w:val="222222"/>
          <w:sz w:val="22"/>
        </w:rPr>
        <w:t>Tiền lệ pháp/án lệ: cách giải quyết trong bản án, quyết định được lựa chọn và công bố để nghiên cứu, áp dụng cho vụ việc tương tự theo điều kiện pháp luật.</w:t>
      </w:r>
    </w:p>
    <w:p>
      <w:pPr>
        <w:pStyle w:val="ListBullet"/>
        <w:spacing w:after="60"/>
      </w:pPr>
      <w:r>
        <w:rPr>
          <w:rFonts w:ascii="Arial" w:hAnsi="Arial" w:eastAsia="Arial"/>
          <w:color w:val="222222"/>
          <w:sz w:val="22"/>
        </w:rPr>
        <w:t>Văn bản quy phạm pháp luật: hình thức chủ yếu trong hệ thống pháp luật Việt Nam.</w:t>
      </w:r>
    </w:p>
    <w:p>
      <w:pPr>
        <w:pStyle w:val="ListBullet"/>
        <w:spacing w:after="60"/>
      </w:pPr>
      <w:r>
        <w:rPr>
          <w:rFonts w:ascii="Arial" w:hAnsi="Arial" w:eastAsia="Arial"/>
          <w:color w:val="222222"/>
          <w:sz w:val="22"/>
        </w:rPr>
        <w:t>Ngoài ra, điều ước quốc tế và các nguyên tắc chung có vai trò theo quy định của từng lĩnh vực.</w:t>
      </w:r>
    </w:p>
    <w:p>
      <w:pPr>
        <w:pStyle w:val="Heading3"/>
      </w:pPr>
      <w:r>
        <w:t>Cơ sở pháp lý</w:t>
      </w:r>
    </w:p>
    <w:p>
      <w:r>
        <w:rPr>
          <w:rFonts w:ascii="Arial" w:hAnsi="Arial" w:eastAsia="Arial"/>
          <w:color w:val="222222"/>
          <w:sz w:val="22"/>
        </w:rPr>
        <w:t>Giáo trình Lý luận Nhà nước và pháp luật; BLDS 2015 về tập quán; quy định về lựa chọn và áp dụng án lệ.</w:t>
      </w:r>
    </w:p>
    <w:p>
      <w:pPr>
        <w:pStyle w:val="Heading3"/>
      </w:pPr>
      <w:r>
        <w:t>Phân tích chi tiết</w:t>
      </w:r>
    </w:p>
    <w:p>
      <w:pPr>
        <w:pStyle w:val="ListBullet"/>
        <w:spacing w:after="60"/>
      </w:pPr>
      <w:r>
        <w:rPr>
          <w:rFonts w:ascii="Arial" w:hAnsi="Arial" w:eastAsia="Arial"/>
          <w:color w:val="222222"/>
          <w:sz w:val="22"/>
        </w:rPr>
        <w:t>Hình thức pháp luật là phương thức tồn tại và biểu hiện ra bên ngoài của các quy tắc pháp lý, giúp chủ thể nhận biết quyền, nghĩa vụ và căn cứ áp dụng.</w:t>
      </w:r>
    </w:p>
    <w:p>
      <w:pPr>
        <w:pStyle w:val="ListBullet"/>
        <w:spacing w:after="60"/>
      </w:pPr>
      <w:r>
        <w:rPr>
          <w:rFonts w:ascii="Arial" w:hAnsi="Arial" w:eastAsia="Arial"/>
          <w:color w:val="222222"/>
          <w:sz w:val="22"/>
        </w:rPr>
        <w:t>Tập quán pháp là tập quán được Nhà nước thừa nhận. Không phải mọi thói quen cộng đồng đều là tập quán pháp; tập quán không được trái các nguyên tắc cơ bản và chỉ áp dụng trong điều kiện pháp luật cho phép.</w:t>
      </w:r>
    </w:p>
    <w:p>
      <w:pPr>
        <w:pStyle w:val="ListBullet"/>
        <w:spacing w:after="60"/>
      </w:pPr>
      <w:r>
        <w:rPr>
          <w:rFonts w:ascii="Arial" w:hAnsi="Arial" w:eastAsia="Arial"/>
          <w:color w:val="222222"/>
          <w:sz w:val="22"/>
        </w:rPr>
        <w:t>Tiền lệ pháp theo nghĩa rộng là quyết định giải quyết vụ việc được thừa nhận làm mẫu. Ở Việt Nam cần dùng thuật ngữ án lệ thận trọng: chỉ lập luận, phán quyết đã được lựa chọn và công bố, không phải tất cả bản án.</w:t>
      </w:r>
    </w:p>
    <w:p>
      <w:pPr>
        <w:pStyle w:val="ListBullet"/>
        <w:spacing w:after="60"/>
      </w:pPr>
      <w:r>
        <w:rPr>
          <w:rFonts w:ascii="Arial" w:hAnsi="Arial" w:eastAsia="Arial"/>
          <w:color w:val="222222"/>
          <w:sz w:val="22"/>
        </w:rPr>
        <w:t>Văn bản QPPL là hình thức chủ yếu của pháp luật Việt Nam vì có tính thành văn, rõ thẩm quyền, hiệu lực và thuận lợi cho việc bảo đảm thống nhất.</w:t>
      </w:r>
    </w:p>
    <w:p>
      <w:pPr>
        <w:pStyle w:val="ListBullet"/>
        <w:spacing w:after="60"/>
      </w:pPr>
      <w:r>
        <w:rPr>
          <w:rFonts w:ascii="Arial" w:hAnsi="Arial" w:eastAsia="Arial"/>
          <w:color w:val="222222"/>
          <w:sz w:val="22"/>
        </w:rPr>
        <w:t>Điều ước quốc tế có vai trò quan trọng trong quan hệ đối ngoại và nhiều lĩnh vực nội luật. Việc áp dụng phải theo Hiến pháp và pháp luật về điều ước quốc tế.</w:t>
      </w:r>
    </w:p>
    <w:p>
      <w:pPr>
        <w:pStyle w:val="ListBullet"/>
        <w:spacing w:after="60"/>
      </w:pPr>
      <w:r>
        <w:rPr>
          <w:rFonts w:ascii="Arial" w:hAnsi="Arial" w:eastAsia="Arial"/>
          <w:color w:val="222222"/>
          <w:sz w:val="22"/>
        </w:rPr>
        <w:t>Các hình thức có ưu, nhược điểm khác nhau: tập quán linh hoạt nhưng có thể thiếu rõ ràng; án lệ góp phần thống nhất xét xử nhưng phụ thuộc vụ việc; văn bản rõ ràng nhưng có nguy cơ chậm so với thực tiễn.</w:t>
      </w:r>
    </w:p>
    <w:p>
      <w:pPr>
        <w:pStyle w:val="Heading3"/>
      </w:pPr>
      <w:r>
        <w:t>Ví dụ minh họa</w:t>
      </w:r>
    </w:p>
    <w:p>
      <w:pPr>
        <w:jc w:val="both"/>
      </w:pPr>
      <w:r>
        <w:rPr>
          <w:rFonts w:ascii="Arial" w:hAnsi="Arial" w:eastAsia="Arial"/>
          <w:color w:val="222222"/>
          <w:sz w:val="22"/>
        </w:rPr>
        <w:t>Một tập quán thương mại chỉ được áp dụng khi các bên không thỏa thuận, pháp luật không quy định và tập quán không trái nguyên tắc cơ bản; không thể viện dẫn tập quán để hợp pháp hóa hành vi bị cấm.</w:t>
      </w:r>
    </w:p>
    <w:p>
      <w:pPr>
        <w:pStyle w:val="Heading3"/>
      </w:pPr>
      <w:r>
        <w:t>Những lỗi dễ mất điểm</w:t>
      </w:r>
    </w:p>
    <w:p>
      <w:pPr>
        <w:pStyle w:val="ListBullet"/>
        <w:spacing w:after="60"/>
      </w:pPr>
      <w:r>
        <w:rPr>
          <w:rFonts w:ascii="Arial" w:hAnsi="Arial" w:eastAsia="Arial"/>
          <w:color w:val="222222"/>
          <w:sz w:val="22"/>
        </w:rPr>
        <w:t>Cho rằng Việt Nam hoàn toàn không có án lệ.</w:t>
      </w:r>
    </w:p>
    <w:p>
      <w:pPr>
        <w:pStyle w:val="ListBullet"/>
        <w:spacing w:after="60"/>
      </w:pPr>
      <w:r>
        <w:rPr>
          <w:rFonts w:ascii="Arial" w:hAnsi="Arial" w:eastAsia="Arial"/>
          <w:color w:val="222222"/>
          <w:sz w:val="22"/>
        </w:rPr>
        <w:t>Gọi mọi tập quán là pháp luật.</w:t>
      </w:r>
    </w:p>
    <w:p>
      <w:pPr>
        <w:pStyle w:val="ListBullet"/>
        <w:spacing w:after="60"/>
      </w:pPr>
      <w:r>
        <w:rPr>
          <w:rFonts w:ascii="Arial" w:hAnsi="Arial" w:eastAsia="Arial"/>
          <w:color w:val="222222"/>
          <w:sz w:val="22"/>
        </w:rPr>
        <w:t>Trình bày lại toàn bộ Câu 2 mà không làm rõ khái niệm hình thức.</w:t>
      </w:r>
    </w:p>
    <w:p>
      <w:pPr>
        <w:pStyle w:val="Heading3"/>
      </w:pPr>
      <w:r>
        <w:t>Dàn ý trả lời khi thi</w:t>
      </w:r>
    </w:p>
    <w:p>
      <w:pPr>
        <w:pStyle w:val="ListNumber"/>
        <w:spacing w:after="60"/>
      </w:pPr>
      <w:r>
        <w:rPr>
          <w:rFonts w:ascii="Arial" w:hAnsi="Arial" w:eastAsia="Arial"/>
          <w:color w:val="222222"/>
          <w:sz w:val="22"/>
        </w:rPr>
        <w:t>Khái niệm.</w:t>
      </w:r>
    </w:p>
    <w:p>
      <w:pPr>
        <w:pStyle w:val="ListNumber"/>
        <w:spacing w:after="60"/>
      </w:pPr>
      <w:r>
        <w:rPr>
          <w:rFonts w:ascii="Arial" w:hAnsi="Arial" w:eastAsia="Arial"/>
          <w:color w:val="222222"/>
          <w:sz w:val="22"/>
        </w:rPr>
        <w:t>Tập quán pháp.</w:t>
      </w:r>
    </w:p>
    <w:p>
      <w:pPr>
        <w:pStyle w:val="ListNumber"/>
        <w:spacing w:after="60"/>
      </w:pPr>
      <w:r>
        <w:rPr>
          <w:rFonts w:ascii="Arial" w:hAnsi="Arial" w:eastAsia="Arial"/>
          <w:color w:val="222222"/>
          <w:sz w:val="22"/>
        </w:rPr>
        <w:t>Án lệ/tiền lệ pháp.</w:t>
      </w:r>
    </w:p>
    <w:p>
      <w:pPr>
        <w:pStyle w:val="ListNumber"/>
        <w:spacing w:after="60"/>
      </w:pPr>
      <w:r>
        <w:rPr>
          <w:rFonts w:ascii="Arial" w:hAnsi="Arial" w:eastAsia="Arial"/>
          <w:color w:val="222222"/>
          <w:sz w:val="22"/>
        </w:rPr>
        <w:t>Văn bản QPPL.</w:t>
      </w:r>
    </w:p>
    <w:p>
      <w:pPr>
        <w:pStyle w:val="ListNumber"/>
        <w:spacing w:after="60"/>
      </w:pPr>
      <w:r>
        <w:rPr>
          <w:rFonts w:ascii="Arial" w:hAnsi="Arial" w:eastAsia="Arial"/>
          <w:color w:val="222222"/>
          <w:sz w:val="22"/>
        </w:rPr>
        <w:t>Điều ước quốc tế và nhận xét ưu nhược điểm.</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hình thức bên ngoài; tập quán pháp; án lệ; văn bản quy phạm pháp luật; điều ước quốc tế</w:t>
            </w:r>
          </w:p>
        </w:tc>
      </w:tr>
    </w:tbl>
    <w:p>
      <w:pPr>
        <w:spacing w:after="0"/>
      </w:pPr>
    </w:p>
    <w:p>
      <w:pPr>
        <w:pStyle w:val="Heading2"/>
      </w:pPr>
      <w:r>
        <w:t>Câu 7. Luật Dân sự: đối tượng và phương pháp điều chỉnh</w:t>
      </w:r>
    </w:p>
    <w:p>
      <w:pPr>
        <w:pStyle w:val="Heading3"/>
      </w:pPr>
      <w:r>
        <w:t>Khái niệm</w:t>
      </w:r>
    </w:p>
    <w:p>
      <w:pPr>
        <w:jc w:val="both"/>
      </w:pPr>
      <w:r>
        <w:rPr>
          <w:rFonts w:ascii="Arial" w:hAnsi="Arial" w:eastAsia="Arial"/>
          <w:color w:val="222222"/>
          <w:sz w:val="22"/>
        </w:rPr>
        <w:t>Luật Dân sự là ngành luật điều chỉnh quan hệ tài sản và quan hệ nhân thân được hình thành trên cơ sở bình đẳng, tự do ý chí, độc lập về tài sản và tự chịu trách nhiệm.</w:t>
      </w:r>
    </w:p>
    <w:p>
      <w:pPr>
        <w:pStyle w:val="Heading3"/>
      </w:pPr>
      <w:r>
        <w:t>Đối tượng</w:t>
      </w:r>
    </w:p>
    <w:p>
      <w:pPr>
        <w:pStyle w:val="ListBullet"/>
        <w:spacing w:after="60"/>
      </w:pPr>
      <w:r>
        <w:rPr>
          <w:rFonts w:ascii="Arial" w:hAnsi="Arial" w:eastAsia="Arial"/>
          <w:color w:val="222222"/>
          <w:sz w:val="22"/>
        </w:rPr>
        <w:t>Quan hệ tài sản: quan hệ giữa các chủ thể thông qua tài sản, thường có tính giá trị và trao đổi.</w:t>
      </w:r>
    </w:p>
    <w:p>
      <w:pPr>
        <w:pStyle w:val="ListBullet"/>
        <w:spacing w:after="60"/>
      </w:pPr>
      <w:r>
        <w:rPr>
          <w:rFonts w:ascii="Arial" w:hAnsi="Arial" w:eastAsia="Arial"/>
          <w:color w:val="222222"/>
          <w:sz w:val="22"/>
        </w:rPr>
        <w:t>Quan hệ nhân thân: quan hệ gắn với giá trị nhân thân; có thể liên quan hoặc không liên quan đến tài sản.</w:t>
      </w:r>
    </w:p>
    <w:p>
      <w:pPr>
        <w:pStyle w:val="Heading3"/>
      </w:pPr>
      <w:r>
        <w:t>Phương pháp</w:t>
      </w:r>
    </w:p>
    <w:p>
      <w:pPr>
        <w:pStyle w:val="ListBullet"/>
        <w:spacing w:after="60"/>
      </w:pPr>
      <w:r>
        <w:rPr>
          <w:rFonts w:ascii="Arial" w:hAnsi="Arial" w:eastAsia="Arial"/>
          <w:color w:val="222222"/>
          <w:sz w:val="22"/>
        </w:rPr>
        <w:t>Bình đẳng về địa vị pháp lý.</w:t>
      </w:r>
    </w:p>
    <w:p>
      <w:pPr>
        <w:pStyle w:val="ListBullet"/>
        <w:spacing w:after="60"/>
      </w:pPr>
      <w:r>
        <w:rPr>
          <w:rFonts w:ascii="Arial" w:hAnsi="Arial" w:eastAsia="Arial"/>
          <w:color w:val="222222"/>
          <w:sz w:val="22"/>
        </w:rPr>
        <w:t>Tự do, tự nguyện cam kết, thỏa thuận nhưng không được vi phạm điều cấm hoặc trái đạo đức xã hội.</w:t>
      </w:r>
    </w:p>
    <w:p>
      <w:pPr>
        <w:pStyle w:val="ListBullet"/>
        <w:spacing w:after="60"/>
      </w:pPr>
      <w:r>
        <w:rPr>
          <w:rFonts w:ascii="Arial" w:hAnsi="Arial" w:eastAsia="Arial"/>
          <w:color w:val="222222"/>
          <w:sz w:val="22"/>
        </w:rPr>
        <w:t>Độc lập về tài sản và tự chịu trách nhiệm.</w:t>
      </w:r>
    </w:p>
    <w:p>
      <w:pPr>
        <w:pStyle w:val="ListBullet"/>
        <w:spacing w:after="60"/>
      </w:pPr>
      <w:r>
        <w:rPr>
          <w:rFonts w:ascii="Arial" w:hAnsi="Arial" w:eastAsia="Arial"/>
          <w:color w:val="222222"/>
          <w:sz w:val="22"/>
        </w:rPr>
        <w:t>Tòa án chỉ giải quyết khi có yêu cầu và trong phạm vi yêu cầu, trừ trường hợp luật quy định khác.</w:t>
      </w:r>
    </w:p>
    <w:p>
      <w:pPr>
        <w:pStyle w:val="Heading3"/>
      </w:pPr>
      <w:r>
        <w:t>Cơ sở pháp lý</w:t>
      </w:r>
    </w:p>
    <w:p>
      <w:r>
        <w:rPr>
          <w:rFonts w:ascii="Arial" w:hAnsi="Arial" w:eastAsia="Arial"/>
          <w:color w:val="222222"/>
          <w:sz w:val="22"/>
        </w:rPr>
        <w:t>Bộ luật Dân sự năm 2015, đặc biệt Điều 1–6 và các nguyên tắc cơ bản tại Điều 3.</w:t>
      </w:r>
    </w:p>
    <w:p>
      <w:pPr>
        <w:pStyle w:val="Heading3"/>
      </w:pPr>
      <w:r>
        <w:t>Phân tích chi tiết</w:t>
      </w:r>
    </w:p>
    <w:p>
      <w:pPr>
        <w:pStyle w:val="ListBullet"/>
        <w:spacing w:after="60"/>
      </w:pPr>
      <w:r>
        <w:rPr>
          <w:rFonts w:ascii="Arial" w:hAnsi="Arial" w:eastAsia="Arial"/>
          <w:color w:val="222222"/>
          <w:sz w:val="22"/>
        </w:rPr>
        <w:t>Đối tượng điều chỉnh của luật dân sự gồm quan hệ tài sản và quan hệ nhân thân hình thành trên cơ sở bình đẳng, tự do ý chí, độc lập tài sản và tự chịu trách nhiệm.</w:t>
      </w:r>
    </w:p>
    <w:p>
      <w:pPr>
        <w:pStyle w:val="ListBullet"/>
        <w:spacing w:after="60"/>
      </w:pPr>
      <w:r>
        <w:rPr>
          <w:rFonts w:ascii="Arial" w:hAnsi="Arial" w:eastAsia="Arial"/>
          <w:color w:val="222222"/>
          <w:sz w:val="22"/>
        </w:rPr>
        <w:t>Quan hệ tài sản là quan hệ giữa các chủ thể thông qua tài sản, không phải quan hệ đơn thuần giữa người với vật. Tài sản gồm vật, tiền, giấy tờ có giá và quyền tài sản.</w:t>
      </w:r>
    </w:p>
    <w:p>
      <w:pPr>
        <w:pStyle w:val="ListBullet"/>
        <w:spacing w:after="60"/>
      </w:pPr>
      <w:r>
        <w:rPr>
          <w:rFonts w:ascii="Arial" w:hAnsi="Arial" w:eastAsia="Arial"/>
          <w:color w:val="222222"/>
          <w:sz w:val="22"/>
        </w:rPr>
        <w:t>Quan hệ nhân thân gắn với giá trị không thể chuyển giao tùy tiện như họ tên, danh dự, đời sống riêng tư; một số quyền nhân thân có thể làm phát sinh quyền tài sản như quyền tác giả.</w:t>
      </w:r>
    </w:p>
    <w:p>
      <w:pPr>
        <w:pStyle w:val="ListBullet"/>
        <w:spacing w:after="60"/>
      </w:pPr>
      <w:r>
        <w:rPr>
          <w:rFonts w:ascii="Arial" w:hAnsi="Arial" w:eastAsia="Arial"/>
          <w:color w:val="222222"/>
          <w:sz w:val="22"/>
        </w:rPr>
        <w:t>Bình đẳng có nghĩa không bên nào được dùng quyền lực nhà nước để áp đặt trong quan hệ dân sự. Cơ quan nhà nước khi mua bán, thuê tài sản cũng phải bình đẳng như chủ thể khác.</w:t>
      </w:r>
    </w:p>
    <w:p>
      <w:pPr>
        <w:pStyle w:val="ListBullet"/>
        <w:spacing w:after="60"/>
      </w:pPr>
      <w:r>
        <w:rPr>
          <w:rFonts w:ascii="Arial" w:hAnsi="Arial" w:eastAsia="Arial"/>
          <w:color w:val="222222"/>
          <w:sz w:val="22"/>
        </w:rPr>
        <w:t>Tự do, tự nguyện cam kết được tôn trọng nhưng bị giới hạn bởi điều cấm, đạo đức xã hội, quyền của người khác và lợi ích công cộng.</w:t>
      </w:r>
    </w:p>
    <w:p>
      <w:pPr>
        <w:pStyle w:val="ListBullet"/>
        <w:spacing w:after="60"/>
      </w:pPr>
      <w:r>
        <w:rPr>
          <w:rFonts w:ascii="Arial" w:hAnsi="Arial" w:eastAsia="Arial"/>
          <w:color w:val="222222"/>
          <w:sz w:val="22"/>
        </w:rPr>
        <w:t>Độc lập tài sản và tự chịu trách nhiệm tạo cơ sở để mỗi bên chịu hậu quả từ cam kết, hành vi của mình. Trách nhiệm dân sự chủ yếu hướng tới khôi phục quyền, bù đắp thiệt hại.</w:t>
      </w:r>
    </w:p>
    <w:p>
      <w:pPr>
        <w:pStyle w:val="Heading3"/>
      </w:pPr>
      <w:r>
        <w:t>Ví dụ minh họa</w:t>
      </w:r>
    </w:p>
    <w:p>
      <w:pPr>
        <w:jc w:val="both"/>
      </w:pPr>
      <w:r>
        <w:rPr>
          <w:rFonts w:ascii="Arial" w:hAnsi="Arial" w:eastAsia="Arial"/>
          <w:color w:val="222222"/>
          <w:sz w:val="22"/>
        </w:rPr>
        <w:t>Cơ quan nhà nước thuê nhà của cá nhân thì quan hệ thuê là dân sự vì hai bên bình đẳng; việc cơ quan ra quyết định xử phạt cá nhân là quan hệ hành chính.</w:t>
      </w:r>
    </w:p>
    <w:p>
      <w:pPr>
        <w:pStyle w:val="Heading3"/>
      </w:pPr>
      <w:r>
        <w:t>Những lỗi dễ mất điểm</w:t>
      </w:r>
    </w:p>
    <w:p>
      <w:pPr>
        <w:pStyle w:val="ListBullet"/>
        <w:spacing w:after="60"/>
      </w:pPr>
      <w:r>
        <w:rPr>
          <w:rFonts w:ascii="Arial" w:hAnsi="Arial" w:eastAsia="Arial"/>
          <w:color w:val="222222"/>
          <w:sz w:val="22"/>
        </w:rPr>
        <w:t>Cho mọi quan hệ có tiền là dân sự.</w:t>
      </w:r>
    </w:p>
    <w:p>
      <w:pPr>
        <w:pStyle w:val="ListBullet"/>
        <w:spacing w:after="60"/>
      </w:pPr>
      <w:r>
        <w:rPr>
          <w:rFonts w:ascii="Arial" w:hAnsi="Arial" w:eastAsia="Arial"/>
          <w:color w:val="222222"/>
          <w:sz w:val="22"/>
        </w:rPr>
        <w:t>Xếp quyền kết hôn, ly hôn hoàn toàn vào quan hệ dân sự dù thuộc ngành hôn nhân gia đình.</w:t>
      </w:r>
    </w:p>
    <w:p>
      <w:pPr>
        <w:pStyle w:val="ListBullet"/>
        <w:spacing w:after="60"/>
      </w:pPr>
      <w:r>
        <w:rPr>
          <w:rFonts w:ascii="Arial" w:hAnsi="Arial" w:eastAsia="Arial"/>
          <w:color w:val="222222"/>
          <w:sz w:val="22"/>
        </w:rPr>
        <w:t>Bỏ phương pháp tự chịu trách nhiệm.</w:t>
      </w:r>
    </w:p>
    <w:p>
      <w:pPr>
        <w:pStyle w:val="Heading3"/>
      </w:pPr>
      <w:r>
        <w:t>Dàn ý trả lời khi thi</w:t>
      </w:r>
    </w:p>
    <w:p>
      <w:pPr>
        <w:pStyle w:val="ListNumber"/>
        <w:spacing w:after="60"/>
      </w:pPr>
      <w:r>
        <w:rPr>
          <w:rFonts w:ascii="Arial" w:hAnsi="Arial" w:eastAsia="Arial"/>
          <w:color w:val="222222"/>
          <w:sz w:val="22"/>
        </w:rPr>
        <w:t>Khái niệm.</w:t>
      </w:r>
    </w:p>
    <w:p>
      <w:pPr>
        <w:pStyle w:val="ListNumber"/>
        <w:spacing w:after="60"/>
      </w:pPr>
      <w:r>
        <w:rPr>
          <w:rFonts w:ascii="Arial" w:hAnsi="Arial" w:eastAsia="Arial"/>
          <w:color w:val="222222"/>
          <w:sz w:val="22"/>
        </w:rPr>
        <w:t>Quan hệ tài sản.</w:t>
      </w:r>
    </w:p>
    <w:p>
      <w:pPr>
        <w:pStyle w:val="ListNumber"/>
        <w:spacing w:after="60"/>
      </w:pPr>
      <w:r>
        <w:rPr>
          <w:rFonts w:ascii="Arial" w:hAnsi="Arial" w:eastAsia="Arial"/>
          <w:color w:val="222222"/>
          <w:sz w:val="22"/>
        </w:rPr>
        <w:t>Quan hệ nhân thân.</w:t>
      </w:r>
    </w:p>
    <w:p>
      <w:pPr>
        <w:pStyle w:val="ListNumber"/>
        <w:spacing w:after="60"/>
      </w:pPr>
      <w:r>
        <w:rPr>
          <w:rFonts w:ascii="Arial" w:hAnsi="Arial" w:eastAsia="Arial"/>
          <w:color w:val="222222"/>
          <w:sz w:val="22"/>
        </w:rPr>
        <w:t>Bình đẳng.</w:t>
      </w:r>
    </w:p>
    <w:p>
      <w:pPr>
        <w:pStyle w:val="ListNumber"/>
        <w:spacing w:after="60"/>
      </w:pPr>
      <w:r>
        <w:rPr>
          <w:rFonts w:ascii="Arial" w:hAnsi="Arial" w:eastAsia="Arial"/>
          <w:color w:val="222222"/>
          <w:sz w:val="22"/>
        </w:rPr>
        <w:t>Tự do ý chí.</w:t>
      </w:r>
    </w:p>
    <w:p>
      <w:pPr>
        <w:pStyle w:val="ListNumber"/>
        <w:spacing w:after="60"/>
      </w:pPr>
      <w:r>
        <w:rPr>
          <w:rFonts w:ascii="Arial" w:hAnsi="Arial" w:eastAsia="Arial"/>
          <w:color w:val="222222"/>
          <w:sz w:val="22"/>
        </w:rPr>
        <w:t>Độc lập tài sản, tự chịu trách nhiệm.</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quan hệ tài sản; quan hệ nhân thân; bình đẳng; tự do ý chí; độc lập tài sản; tự chịu trách nhiệm</w:t>
            </w:r>
          </w:p>
        </w:tc>
      </w:tr>
    </w:tbl>
    <w:p>
      <w:pPr>
        <w:spacing w:after="0"/>
      </w:pPr>
    </w:p>
    <w:p>
      <w:pPr>
        <w:pStyle w:val="Heading2"/>
      </w:pPr>
      <w:r>
        <w:t>Câu 8. Quy phạm pháp luật: khái niệm, đặc điểm và cấu trúc</w:t>
      </w:r>
    </w:p>
    <w:p>
      <w:pPr>
        <w:pStyle w:val="Heading3"/>
      </w:pPr>
      <w:r>
        <w:t>Khái niệm</w:t>
      </w:r>
    </w:p>
    <w:p>
      <w:pPr>
        <w:jc w:val="both"/>
      </w:pPr>
      <w:r>
        <w:rPr>
          <w:rFonts w:ascii="Arial" w:hAnsi="Arial" w:eastAsia="Arial"/>
          <w:color w:val="222222"/>
          <w:sz w:val="22"/>
        </w:rPr>
        <w:t>Quy phạm pháp luật là quy tắc xử sự chung, có hiệu lực bắt buộc chung, do Nhà nước ban hành hoặc thừa nhận và bảo đảm thực hiện nhằm điều chỉnh quan hệ xã hội.</w:t>
      </w:r>
    </w:p>
    <w:p>
      <w:pPr>
        <w:pStyle w:val="Heading3"/>
      </w:pPr>
      <w:r>
        <w:t>Đặc điểm</w:t>
      </w:r>
    </w:p>
    <w:p>
      <w:pPr>
        <w:pStyle w:val="ListBullet"/>
        <w:spacing w:after="60"/>
      </w:pPr>
      <w:r>
        <w:rPr>
          <w:rFonts w:ascii="Arial" w:hAnsi="Arial" w:eastAsia="Arial"/>
          <w:color w:val="222222"/>
          <w:sz w:val="22"/>
        </w:rPr>
        <w:t>Tính bắt buộc chung và áp dụng nhiều lần.</w:t>
      </w:r>
    </w:p>
    <w:p>
      <w:pPr>
        <w:pStyle w:val="ListBullet"/>
        <w:spacing w:after="60"/>
      </w:pPr>
      <w:r>
        <w:rPr>
          <w:rFonts w:ascii="Arial" w:hAnsi="Arial" w:eastAsia="Arial"/>
          <w:color w:val="222222"/>
          <w:sz w:val="22"/>
        </w:rPr>
        <w:t>Thể hiện ý chí nhà nước; xác định quyền, nghĩa vụ hoặc hậu quả pháp lý.</w:t>
      </w:r>
    </w:p>
    <w:p>
      <w:pPr>
        <w:pStyle w:val="ListBullet"/>
        <w:spacing w:after="60"/>
      </w:pPr>
      <w:r>
        <w:rPr>
          <w:rFonts w:ascii="Arial" w:hAnsi="Arial" w:eastAsia="Arial"/>
          <w:color w:val="222222"/>
          <w:sz w:val="22"/>
        </w:rPr>
        <w:t>Có hình thức chặt chẽ và được bảo đảm bằng quyền lực nhà nước.</w:t>
      </w:r>
    </w:p>
    <w:p>
      <w:pPr>
        <w:pStyle w:val="Heading3"/>
      </w:pPr>
      <w:r>
        <w:t>Cấu trúc logic</w:t>
      </w:r>
    </w:p>
    <w:p>
      <w:pPr>
        <w:pStyle w:val="ListBullet"/>
        <w:spacing w:after="60"/>
      </w:pPr>
      <w:r>
        <w:rPr>
          <w:rFonts w:ascii="Arial" w:hAnsi="Arial" w:eastAsia="Arial"/>
          <w:color w:val="222222"/>
          <w:sz w:val="22"/>
        </w:rPr>
        <w:t>Giả định: chủ thể, điều kiện, hoàn cảnh áp dụng – trả lời ai, khi nào, trong trường hợp nào.</w:t>
      </w:r>
    </w:p>
    <w:p>
      <w:pPr>
        <w:pStyle w:val="ListBullet"/>
        <w:spacing w:after="60"/>
      </w:pPr>
      <w:r>
        <w:rPr>
          <w:rFonts w:ascii="Arial" w:hAnsi="Arial" w:eastAsia="Arial"/>
          <w:color w:val="222222"/>
          <w:sz w:val="22"/>
        </w:rPr>
        <w:t>Quy định: cách xử sự được phép, bắt buộc hoặc bị cấm.</w:t>
      </w:r>
    </w:p>
    <w:p>
      <w:pPr>
        <w:pStyle w:val="ListBullet"/>
        <w:spacing w:after="60"/>
      </w:pPr>
      <w:r>
        <w:rPr>
          <w:rFonts w:ascii="Arial" w:hAnsi="Arial" w:eastAsia="Arial"/>
          <w:color w:val="222222"/>
          <w:sz w:val="22"/>
        </w:rPr>
        <w:t>Chế tài: hậu quả pháp lý bất lợi khi không thực hiện đúng quy định.</w:t>
      </w:r>
    </w:p>
    <w:p>
      <w:pPr>
        <w:pStyle w:val="ListBullet"/>
        <w:spacing w:after="60"/>
      </w:pPr>
      <w:r>
        <w:rPr>
          <w:rFonts w:ascii="Arial" w:hAnsi="Arial" w:eastAsia="Arial"/>
          <w:color w:val="222222"/>
          <w:sz w:val="22"/>
        </w:rPr>
        <w:t>Một quy phạm không nhất thiết có đủ ba bộ phận trong cùng một điều luật; một điều luật cũng có thể chứa nhiều quy phạm.</w:t>
      </w:r>
    </w:p>
    <w:p>
      <w:pPr>
        <w:pStyle w:val="Heading3"/>
      </w:pPr>
      <w:r>
        <w:t>Cơ sở pháp lý</w:t>
      </w:r>
    </w:p>
    <w:p>
      <w:r>
        <w:rPr>
          <w:rFonts w:ascii="Arial" w:hAnsi="Arial" w:eastAsia="Arial"/>
          <w:color w:val="222222"/>
          <w:sz w:val="22"/>
        </w:rPr>
        <w:t>Luật Ban hành VBQPPL hiện hành và giáo trình Lý luận Nhà nước và pháp luật.</w:t>
      </w:r>
    </w:p>
    <w:p>
      <w:pPr>
        <w:pStyle w:val="Heading3"/>
      </w:pPr>
      <w:r>
        <w:t>Phân tích chi tiết</w:t>
      </w:r>
    </w:p>
    <w:p>
      <w:pPr>
        <w:pStyle w:val="ListBullet"/>
        <w:spacing w:after="60"/>
      </w:pPr>
      <w:r>
        <w:rPr>
          <w:rFonts w:ascii="Arial" w:hAnsi="Arial" w:eastAsia="Arial"/>
          <w:color w:val="222222"/>
          <w:sz w:val="22"/>
        </w:rPr>
        <w:t>Quy phạm pháp luật là quy tắc xử sự chung chứ không đồng nhất với một điều luật. Một điều có thể chứa nhiều quy phạm; một quy phạm có thể được thể hiện qua nhiều điều hoặc nhiều văn bản.</w:t>
      </w:r>
    </w:p>
    <w:p>
      <w:pPr>
        <w:pStyle w:val="ListBullet"/>
        <w:spacing w:after="60"/>
      </w:pPr>
      <w:r>
        <w:rPr>
          <w:rFonts w:ascii="Arial" w:hAnsi="Arial" w:eastAsia="Arial"/>
          <w:color w:val="222222"/>
          <w:sz w:val="22"/>
        </w:rPr>
        <w:t>Tính bắt buộc chung nghĩa là quy phạm áp dụng với mọi chủ thể thuộc điều kiện đã dự liệu, không phải áp dụng cho toàn bộ mọi người trong mọi hoàn cảnh.</w:t>
      </w:r>
    </w:p>
    <w:p>
      <w:pPr>
        <w:pStyle w:val="ListBullet"/>
        <w:spacing w:after="60"/>
      </w:pPr>
      <w:r>
        <w:rPr>
          <w:rFonts w:ascii="Arial" w:hAnsi="Arial" w:eastAsia="Arial"/>
          <w:color w:val="222222"/>
          <w:sz w:val="22"/>
        </w:rPr>
        <w:t>Giả định xác định chủ thể, thời gian, địa điểm, điều kiện hoặc hoàn cảnh. Giả định có thể đơn giản hoặc phức tạp, xác định hoặc tương đối xác định.</w:t>
      </w:r>
    </w:p>
    <w:p>
      <w:pPr>
        <w:pStyle w:val="ListBullet"/>
        <w:spacing w:after="60"/>
      </w:pPr>
      <w:r>
        <w:rPr>
          <w:rFonts w:ascii="Arial" w:hAnsi="Arial" w:eastAsia="Arial"/>
          <w:color w:val="222222"/>
          <w:sz w:val="22"/>
        </w:rPr>
        <w:t>Quy định nêu cách xử sự được phép, bắt buộc hoặc bị cấm. Đây là phần định hướng hành vi và thường được coi là trung tâm của quy phạm.</w:t>
      </w:r>
    </w:p>
    <w:p>
      <w:pPr>
        <w:pStyle w:val="ListBullet"/>
        <w:spacing w:after="60"/>
      </w:pPr>
      <w:r>
        <w:rPr>
          <w:rFonts w:ascii="Arial" w:hAnsi="Arial" w:eastAsia="Arial"/>
          <w:color w:val="222222"/>
          <w:sz w:val="22"/>
        </w:rPr>
        <w:t>Chế tài nêu hậu quả pháp lý bất lợi khi chủ thể không tuân thủ. Có thể là hình sự, hành chính, dân sự, kỷ luật; không nên chỉ phân loại bằng các cụm từ thiếu chuẩn như “phủ nhận pháp luật”.</w:t>
      </w:r>
    </w:p>
    <w:p>
      <w:pPr>
        <w:pStyle w:val="ListBullet"/>
        <w:spacing w:after="60"/>
      </w:pPr>
      <w:r>
        <w:rPr>
          <w:rFonts w:ascii="Arial" w:hAnsi="Arial" w:eastAsia="Arial"/>
          <w:color w:val="222222"/>
          <w:sz w:val="22"/>
        </w:rPr>
        <w:t>Trong quy phạm xử phạt, quy định về nghĩa vụ thường được thể hiện ngầm hoặc nằm ở văn bản giao thông, còn mức phạt nằm trong nghị định xử phạt.</w:t>
      </w:r>
    </w:p>
    <w:p>
      <w:pPr>
        <w:pStyle w:val="Heading3"/>
      </w:pPr>
      <w:r>
        <w:t>Ví dụ minh họa</w:t>
      </w:r>
    </w:p>
    <w:p>
      <w:pPr>
        <w:jc w:val="both"/>
      </w:pPr>
      <w:r>
        <w:rPr>
          <w:rFonts w:ascii="Arial" w:hAnsi="Arial" w:eastAsia="Arial"/>
          <w:color w:val="222222"/>
          <w:sz w:val="22"/>
        </w:rPr>
        <w:t>Câu “phạt tiền đối với người đi xe máy không đội mũ” có giả định là người điều khiển/ngồi trên xe trong điều kiện tham gia giao thông; quy định ngầm là phải đội và cài đúng; chế tài là mức phạt.</w:t>
      </w:r>
    </w:p>
    <w:p>
      <w:pPr>
        <w:pStyle w:val="Heading3"/>
      </w:pPr>
      <w:r>
        <w:t>Những lỗi dễ mất điểm</w:t>
      </w:r>
    </w:p>
    <w:p>
      <w:pPr>
        <w:pStyle w:val="ListBullet"/>
        <w:spacing w:after="60"/>
      </w:pPr>
      <w:r>
        <w:rPr>
          <w:rFonts w:ascii="Arial" w:hAnsi="Arial" w:eastAsia="Arial"/>
          <w:color w:val="222222"/>
          <w:sz w:val="22"/>
        </w:rPr>
        <w:t>Ghi “quy phạm pháp luật đơn giản là điều luật”.</w:t>
      </w:r>
    </w:p>
    <w:p>
      <w:pPr>
        <w:pStyle w:val="ListBullet"/>
        <w:spacing w:after="60"/>
      </w:pPr>
      <w:r>
        <w:rPr>
          <w:rFonts w:ascii="Arial" w:hAnsi="Arial" w:eastAsia="Arial"/>
          <w:color w:val="222222"/>
          <w:sz w:val="22"/>
        </w:rPr>
        <w:t>Cố tìm đủ ba phần trong đúng một câu.</w:t>
      </w:r>
    </w:p>
    <w:p>
      <w:pPr>
        <w:pStyle w:val="ListBullet"/>
        <w:spacing w:after="60"/>
      </w:pPr>
      <w:r>
        <w:rPr>
          <w:rFonts w:ascii="Arial" w:hAnsi="Arial" w:eastAsia="Arial"/>
          <w:color w:val="222222"/>
          <w:sz w:val="22"/>
        </w:rPr>
        <w:t>Nhầm hành vi vi phạm trong giả định với phần quy định.</w:t>
      </w:r>
    </w:p>
    <w:p>
      <w:pPr>
        <w:pStyle w:val="Heading3"/>
      </w:pPr>
      <w:r>
        <w:t>Dàn ý trả lời khi thi</w:t>
      </w:r>
    </w:p>
    <w:p>
      <w:pPr>
        <w:pStyle w:val="ListNumber"/>
        <w:spacing w:after="60"/>
      </w:pPr>
      <w:r>
        <w:rPr>
          <w:rFonts w:ascii="Arial" w:hAnsi="Arial" w:eastAsia="Arial"/>
          <w:color w:val="222222"/>
          <w:sz w:val="22"/>
        </w:rPr>
        <w:t>Khái niệm.</w:t>
      </w:r>
    </w:p>
    <w:p>
      <w:pPr>
        <w:pStyle w:val="ListNumber"/>
        <w:spacing w:after="60"/>
      </w:pPr>
      <w:r>
        <w:rPr>
          <w:rFonts w:ascii="Arial" w:hAnsi="Arial" w:eastAsia="Arial"/>
          <w:color w:val="222222"/>
          <w:sz w:val="22"/>
        </w:rPr>
        <w:t>Đặc điểm.</w:t>
      </w:r>
    </w:p>
    <w:p>
      <w:pPr>
        <w:pStyle w:val="ListNumber"/>
        <w:spacing w:after="60"/>
      </w:pPr>
      <w:r>
        <w:rPr>
          <w:rFonts w:ascii="Arial" w:hAnsi="Arial" w:eastAsia="Arial"/>
          <w:color w:val="222222"/>
          <w:sz w:val="22"/>
        </w:rPr>
        <w:t>Giả định.</w:t>
      </w:r>
    </w:p>
    <w:p>
      <w:pPr>
        <w:pStyle w:val="ListNumber"/>
        <w:spacing w:after="60"/>
      </w:pPr>
      <w:r>
        <w:rPr>
          <w:rFonts w:ascii="Arial" w:hAnsi="Arial" w:eastAsia="Arial"/>
          <w:color w:val="222222"/>
          <w:sz w:val="22"/>
        </w:rPr>
        <w:t>Quy định.</w:t>
      </w:r>
    </w:p>
    <w:p>
      <w:pPr>
        <w:pStyle w:val="ListNumber"/>
        <w:spacing w:after="60"/>
      </w:pPr>
      <w:r>
        <w:rPr>
          <w:rFonts w:ascii="Arial" w:hAnsi="Arial" w:eastAsia="Arial"/>
          <w:color w:val="222222"/>
          <w:sz w:val="22"/>
        </w:rPr>
        <w:t>Chế tài.</w:t>
      </w:r>
    </w:p>
    <w:p>
      <w:pPr>
        <w:pStyle w:val="ListNumber"/>
        <w:spacing w:after="60"/>
      </w:pPr>
      <w:r>
        <w:rPr>
          <w:rFonts w:ascii="Arial" w:hAnsi="Arial" w:eastAsia="Arial"/>
          <w:color w:val="222222"/>
          <w:sz w:val="22"/>
        </w:rPr>
        <w:t>Lưu ý cấu trúc logic và ví dụ.</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quy tắc xử sự chung; giả định; quy định; chế tài; quy phạm không đồng nhất với điều luật</w:t>
            </w:r>
          </w:p>
        </w:tc>
      </w:tr>
    </w:tbl>
    <w:p>
      <w:pPr>
        <w:spacing w:after="0"/>
      </w:pPr>
    </w:p>
    <w:p>
      <w:pPr>
        <w:pStyle w:val="Heading2"/>
      </w:pPr>
      <w:r>
        <w:t>Câu 9. Sở hữu và quyền sở hữu theo Bộ luật Dân sự 2015</w:t>
      </w:r>
    </w:p>
    <w:p>
      <w:pPr>
        <w:pStyle w:val="Heading3"/>
      </w:pPr>
      <w:r>
        <w:t>Khái niệm</w:t>
      </w:r>
    </w:p>
    <w:p>
      <w:pPr>
        <w:jc w:val="both"/>
      </w:pPr>
      <w:r>
        <w:rPr>
          <w:rFonts w:ascii="Arial" w:hAnsi="Arial" w:eastAsia="Arial"/>
          <w:color w:val="222222"/>
          <w:sz w:val="22"/>
        </w:rPr>
        <w:t>Sở hữu là quan hệ xã hội về việc chiếm hữu của cải. Quyền sở hữu là quyền của chủ sở hữu đối với tài sản, gồm quyền chiếm hữu, quyền sử dụng và quyền định đoạt.</w:t>
      </w:r>
    </w:p>
    <w:p>
      <w:pPr>
        <w:pStyle w:val="Heading3"/>
      </w:pPr>
      <w:r>
        <w:t>Nội dung</w:t>
      </w:r>
    </w:p>
    <w:p>
      <w:pPr>
        <w:pStyle w:val="ListBullet"/>
        <w:spacing w:after="60"/>
      </w:pPr>
      <w:r>
        <w:rPr>
          <w:rFonts w:ascii="Arial" w:hAnsi="Arial" w:eastAsia="Arial"/>
          <w:color w:val="222222"/>
          <w:sz w:val="22"/>
        </w:rPr>
        <w:t>Chiếm hữu: nắm giữ, chi phối tài sản trực tiếp hoặc gián tiếp.</w:t>
      </w:r>
    </w:p>
    <w:p>
      <w:pPr>
        <w:pStyle w:val="ListBullet"/>
        <w:spacing w:after="60"/>
      </w:pPr>
      <w:r>
        <w:rPr>
          <w:rFonts w:ascii="Arial" w:hAnsi="Arial" w:eastAsia="Arial"/>
          <w:color w:val="222222"/>
          <w:sz w:val="22"/>
        </w:rPr>
        <w:t>Sử dụng: khai thác công dụng, hưởng hoa lợi, lợi tức.</w:t>
      </w:r>
    </w:p>
    <w:p>
      <w:pPr>
        <w:pStyle w:val="ListBullet"/>
        <w:spacing w:after="60"/>
      </w:pPr>
      <w:r>
        <w:rPr>
          <w:rFonts w:ascii="Arial" w:hAnsi="Arial" w:eastAsia="Arial"/>
          <w:color w:val="222222"/>
          <w:sz w:val="22"/>
        </w:rPr>
        <w:t>Định đoạt: chuyển giao quyền sở hữu, từ bỏ quyền sở hữu, tiêu dùng hoặc tiêu hủy tài sản.</w:t>
      </w:r>
    </w:p>
    <w:p>
      <w:pPr>
        <w:pStyle w:val="Heading3"/>
      </w:pPr>
      <w:r>
        <w:t>Căn cứ xác lập và chấm dứt</w:t>
      </w:r>
    </w:p>
    <w:p>
      <w:pPr>
        <w:pStyle w:val="ListBullet"/>
        <w:spacing w:after="60"/>
      </w:pPr>
      <w:r>
        <w:rPr>
          <w:rFonts w:ascii="Arial" w:hAnsi="Arial" w:eastAsia="Arial"/>
          <w:color w:val="222222"/>
          <w:sz w:val="22"/>
        </w:rPr>
        <w:t>Xác lập từ lao động, sản xuất kinh doanh; chuyển giao; thu hoa lợi, lợi tức; tạo vật mới; thừa kế; chiếm hữu theo luật; bản án/quyết định và các căn cứ khác.</w:t>
      </w:r>
    </w:p>
    <w:p>
      <w:pPr>
        <w:pStyle w:val="ListBullet"/>
        <w:spacing w:after="60"/>
      </w:pPr>
      <w:r>
        <w:rPr>
          <w:rFonts w:ascii="Arial" w:hAnsi="Arial" w:eastAsia="Arial"/>
          <w:color w:val="222222"/>
          <w:sz w:val="22"/>
        </w:rPr>
        <w:t>Chấm dứt khi chuyển quyền, từ bỏ, tài sản bị tiêu hủy, xử lý để thực hiện nghĩa vụ, trưng mua, tịch thu hoặc người khác được xác lập quyền theo luật.</w:t>
      </w:r>
    </w:p>
    <w:p>
      <w:pPr>
        <w:pStyle w:val="Heading3"/>
      </w:pPr>
      <w:r>
        <w:t>Cơ sở pháp lý</w:t>
      </w:r>
    </w:p>
    <w:p>
      <w:r>
        <w:rPr>
          <w:rFonts w:ascii="Arial" w:hAnsi="Arial" w:eastAsia="Arial"/>
          <w:color w:val="222222"/>
          <w:sz w:val="22"/>
        </w:rPr>
        <w:t>Bộ luật Dân sự 2015: Điều 158 và các quy định về chiếm hữu, sử dụng, định đoạt; Điều 221 và Điều 237 về căn cứ xác lập, chấm dứt.</w:t>
      </w:r>
    </w:p>
    <w:p>
      <w:pPr>
        <w:pStyle w:val="Heading3"/>
      </w:pPr>
      <w:r>
        <w:t>Phân tích chi tiết</w:t>
      </w:r>
    </w:p>
    <w:p>
      <w:pPr>
        <w:pStyle w:val="ListBullet"/>
        <w:spacing w:after="60"/>
      </w:pPr>
      <w:r>
        <w:rPr>
          <w:rFonts w:ascii="Arial" w:hAnsi="Arial" w:eastAsia="Arial"/>
          <w:color w:val="222222"/>
          <w:sz w:val="22"/>
        </w:rPr>
        <w:t>Sở hữu là quan hệ xã hội giữa người với người đối với tài sản. Quyền sở hữu là phạm trù pháp lý gồm quyền chiếm hữu, sử dụng và định đoạt.</w:t>
      </w:r>
    </w:p>
    <w:p>
      <w:pPr>
        <w:pStyle w:val="ListBullet"/>
        <w:spacing w:after="60"/>
      </w:pPr>
      <w:r>
        <w:rPr>
          <w:rFonts w:ascii="Arial" w:hAnsi="Arial" w:eastAsia="Arial"/>
          <w:color w:val="222222"/>
          <w:sz w:val="22"/>
        </w:rPr>
        <w:t>Chiếm hữu là nắm giữ, chi phối tài sản trực tiếp hoặc gián tiếp. Người thuê, mượn hoặc giữ tài sản có thể chiếm hữu hợp pháp nhưng không phải chủ sở hữu.</w:t>
      </w:r>
    </w:p>
    <w:p>
      <w:pPr>
        <w:pStyle w:val="ListBullet"/>
        <w:spacing w:after="60"/>
      </w:pPr>
      <w:r>
        <w:rPr>
          <w:rFonts w:ascii="Arial" w:hAnsi="Arial" w:eastAsia="Arial"/>
          <w:color w:val="222222"/>
          <w:sz w:val="22"/>
        </w:rPr>
        <w:t>Sử dụng là khai thác công dụng, hưởng hoa lợi và lợi tức. Việc sử dụng phải không gây thiệt hại, ảnh hưởng lợi ích quốc gia, công cộng hoặc quyền của người khác.</w:t>
      </w:r>
    </w:p>
    <w:p>
      <w:pPr>
        <w:pStyle w:val="ListBullet"/>
        <w:spacing w:after="60"/>
      </w:pPr>
      <w:r>
        <w:rPr>
          <w:rFonts w:ascii="Arial" w:hAnsi="Arial" w:eastAsia="Arial"/>
          <w:color w:val="222222"/>
          <w:sz w:val="22"/>
        </w:rPr>
        <w:t>Định đoạt là chuyển giao quyền sở hữu, từ bỏ, tiêu dùng hoặc tiêu hủy tài sản. Chủ thể định đoạt phải có năng lực và đúng thẩm quyền; người không phải chủ sở hữu chỉ định đoạt khi được ủy quyền hoặc luật cho phép.</w:t>
      </w:r>
    </w:p>
    <w:p>
      <w:pPr>
        <w:pStyle w:val="ListBullet"/>
        <w:spacing w:after="60"/>
      </w:pPr>
      <w:r>
        <w:rPr>
          <w:rFonts w:ascii="Arial" w:hAnsi="Arial" w:eastAsia="Arial"/>
          <w:color w:val="222222"/>
          <w:sz w:val="22"/>
        </w:rPr>
        <w:t>Căn cứ xác lập gồm lao động, sản xuất kinh doanh; chuyển giao; hoa lợi, lợi tức; tạo vật mới; thừa kế; chiếm hữu vật vô chủ, đánh rơi, bỏ quên; thời hiệu và căn cứ khác.</w:t>
      </w:r>
    </w:p>
    <w:p>
      <w:pPr>
        <w:pStyle w:val="ListBullet"/>
        <w:spacing w:after="60"/>
      </w:pPr>
      <w:r>
        <w:rPr>
          <w:rFonts w:ascii="Arial" w:hAnsi="Arial" w:eastAsia="Arial"/>
          <w:color w:val="222222"/>
          <w:sz w:val="22"/>
        </w:rPr>
        <w:t>Quyền sở hữu chấm dứt khi chuyển quyền, từ bỏ, tài sản tiêu hủy, bị xử lý nghĩa vụ, trưng mua, tịch thu hoặc người khác được xác lập quyền theo luật.</w:t>
      </w:r>
    </w:p>
    <w:p>
      <w:pPr>
        <w:pStyle w:val="Heading3"/>
      </w:pPr>
      <w:r>
        <w:t>Ví dụ minh họa</w:t>
      </w:r>
    </w:p>
    <w:p>
      <w:pPr>
        <w:jc w:val="both"/>
      </w:pPr>
      <w:r>
        <w:rPr>
          <w:rFonts w:ascii="Arial" w:hAnsi="Arial" w:eastAsia="Arial"/>
          <w:color w:val="222222"/>
          <w:sz w:val="22"/>
        </w:rPr>
        <w:t>A thuê xe của B: A có quyền chiếm hữu, sử dụng trong phạm vi hợp đồng; B vẫn là chủ sở hữu; A không có quyền bán xe.</w:t>
      </w:r>
    </w:p>
    <w:p>
      <w:pPr>
        <w:pStyle w:val="Heading3"/>
      </w:pPr>
      <w:r>
        <w:t>Những lỗi dễ mất điểm</w:t>
      </w:r>
    </w:p>
    <w:p>
      <w:pPr>
        <w:pStyle w:val="ListBullet"/>
        <w:spacing w:after="60"/>
      </w:pPr>
      <w:r>
        <w:rPr>
          <w:rFonts w:ascii="Arial" w:hAnsi="Arial" w:eastAsia="Arial"/>
          <w:color w:val="222222"/>
          <w:sz w:val="22"/>
        </w:rPr>
        <w:t>Dẫn Điều 170, 171 BLDS 2005.</w:t>
      </w:r>
    </w:p>
    <w:p>
      <w:pPr>
        <w:pStyle w:val="ListBullet"/>
        <w:spacing w:after="60"/>
      </w:pPr>
      <w:r>
        <w:rPr>
          <w:rFonts w:ascii="Arial" w:hAnsi="Arial" w:eastAsia="Arial"/>
          <w:color w:val="222222"/>
          <w:sz w:val="22"/>
        </w:rPr>
        <w:t>Bỏ quyền sử dụng khi liệt kê nội dung quyền sở hữu.</w:t>
      </w:r>
    </w:p>
    <w:p>
      <w:pPr>
        <w:pStyle w:val="ListBullet"/>
        <w:spacing w:after="60"/>
      </w:pPr>
      <w:r>
        <w:rPr>
          <w:rFonts w:ascii="Arial" w:hAnsi="Arial" w:eastAsia="Arial"/>
          <w:color w:val="222222"/>
          <w:sz w:val="22"/>
        </w:rPr>
        <w:t>Cho rằng người đang giữ tài sản là chủ sở hữu.</w:t>
      </w:r>
    </w:p>
    <w:p>
      <w:pPr>
        <w:pStyle w:val="Heading3"/>
      </w:pPr>
      <w:r>
        <w:t>Dàn ý trả lời khi thi</w:t>
      </w:r>
    </w:p>
    <w:p>
      <w:pPr>
        <w:pStyle w:val="ListNumber"/>
        <w:spacing w:after="60"/>
      </w:pPr>
      <w:r>
        <w:rPr>
          <w:rFonts w:ascii="Arial" w:hAnsi="Arial" w:eastAsia="Arial"/>
          <w:color w:val="222222"/>
          <w:sz w:val="22"/>
        </w:rPr>
        <w:t>Khái niệm sở hữu và quyền sở hữu.</w:t>
      </w:r>
    </w:p>
    <w:p>
      <w:pPr>
        <w:pStyle w:val="ListNumber"/>
        <w:spacing w:after="60"/>
      </w:pPr>
      <w:r>
        <w:rPr>
          <w:rFonts w:ascii="Arial" w:hAnsi="Arial" w:eastAsia="Arial"/>
          <w:color w:val="222222"/>
          <w:sz w:val="22"/>
        </w:rPr>
        <w:t>Ba quyền năng.</w:t>
      </w:r>
    </w:p>
    <w:p>
      <w:pPr>
        <w:pStyle w:val="ListNumber"/>
        <w:spacing w:after="60"/>
      </w:pPr>
      <w:r>
        <w:rPr>
          <w:rFonts w:ascii="Arial" w:hAnsi="Arial" w:eastAsia="Arial"/>
          <w:color w:val="222222"/>
          <w:sz w:val="22"/>
        </w:rPr>
        <w:t>Giới hạn.</w:t>
      </w:r>
    </w:p>
    <w:p>
      <w:pPr>
        <w:pStyle w:val="ListNumber"/>
        <w:spacing w:after="60"/>
      </w:pPr>
      <w:r>
        <w:rPr>
          <w:rFonts w:ascii="Arial" w:hAnsi="Arial" w:eastAsia="Arial"/>
          <w:color w:val="222222"/>
          <w:sz w:val="22"/>
        </w:rPr>
        <w:t>Nhóm căn cứ xác lập.</w:t>
      </w:r>
    </w:p>
    <w:p>
      <w:pPr>
        <w:pStyle w:val="ListNumber"/>
        <w:spacing w:after="60"/>
      </w:pPr>
      <w:r>
        <w:rPr>
          <w:rFonts w:ascii="Arial" w:hAnsi="Arial" w:eastAsia="Arial"/>
          <w:color w:val="222222"/>
          <w:sz w:val="22"/>
        </w:rPr>
        <w:t>Nhóm căn cứ chấm dứt.</w:t>
      </w:r>
    </w:p>
    <w:p>
      <w:pPr>
        <w:pStyle w:val="ListNumber"/>
        <w:spacing w:after="60"/>
      </w:pPr>
      <w:r>
        <w:rPr>
          <w:rFonts w:ascii="Arial" w:hAnsi="Arial" w:eastAsia="Arial"/>
          <w:color w:val="222222"/>
          <w:sz w:val="22"/>
        </w:rPr>
        <w:t>Ví dụ.</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BLDS 2015; chiếm hữu; sử dụng; định đoạt; căn cứ xác lập; căn cứ chấm dứt</w:t>
            </w:r>
          </w:p>
        </w:tc>
      </w:tr>
    </w:tbl>
    <w:p>
      <w:pPr>
        <w:spacing w:after="0"/>
      </w:pPr>
    </w:p>
    <w:p>
      <w:pPr>
        <w:pStyle w:val="Heading2"/>
      </w:pPr>
      <w:r>
        <w:t>Câu 10. Vi phạm pháp luật: khái niệm, dấu hiệu và phân loại</w:t>
      </w:r>
    </w:p>
    <w:p>
      <w:pPr>
        <w:pStyle w:val="Heading3"/>
      </w:pPr>
      <w:r>
        <w:t>Khái niệm</w:t>
      </w:r>
    </w:p>
    <w:p>
      <w:pPr>
        <w:jc w:val="both"/>
      </w:pPr>
      <w:r>
        <w:rPr>
          <w:rFonts w:ascii="Arial" w:hAnsi="Arial" w:eastAsia="Arial"/>
          <w:color w:val="222222"/>
          <w:sz w:val="22"/>
        </w:rPr>
        <w:t>Vi phạm pháp luật là hành vi trái pháp luật, có lỗi, do chủ thể có năng lực trách nhiệm pháp lý thực hiện, xâm hại quan hệ xã hội được pháp luật bảo vệ.</w:t>
      </w:r>
    </w:p>
    <w:p>
      <w:pPr>
        <w:pStyle w:val="Heading3"/>
      </w:pPr>
      <w:r>
        <w:t>Dấu hiệu</w:t>
      </w:r>
    </w:p>
    <w:p>
      <w:pPr>
        <w:pStyle w:val="ListBullet"/>
        <w:spacing w:after="60"/>
      </w:pPr>
      <w:r>
        <w:rPr>
          <w:rFonts w:ascii="Arial" w:hAnsi="Arial" w:eastAsia="Arial"/>
          <w:color w:val="222222"/>
          <w:sz w:val="22"/>
        </w:rPr>
        <w:t>Là hành vi xác định của con người hoặc tổ chức, dưới dạng hành động hoặc không hành động.</w:t>
      </w:r>
    </w:p>
    <w:p>
      <w:pPr>
        <w:pStyle w:val="ListBullet"/>
        <w:spacing w:after="60"/>
      </w:pPr>
      <w:r>
        <w:rPr>
          <w:rFonts w:ascii="Arial" w:hAnsi="Arial" w:eastAsia="Arial"/>
          <w:color w:val="222222"/>
          <w:sz w:val="22"/>
        </w:rPr>
        <w:t>Trái pháp luật và xâm hại quan hệ xã hội được bảo vệ.</w:t>
      </w:r>
    </w:p>
    <w:p>
      <w:pPr>
        <w:pStyle w:val="ListBullet"/>
        <w:spacing w:after="60"/>
      </w:pPr>
      <w:r>
        <w:rPr>
          <w:rFonts w:ascii="Arial" w:hAnsi="Arial" w:eastAsia="Arial"/>
          <w:color w:val="222222"/>
          <w:sz w:val="22"/>
        </w:rPr>
        <w:t>Có lỗi cố ý hoặc vô ý.</w:t>
      </w:r>
    </w:p>
    <w:p>
      <w:pPr>
        <w:pStyle w:val="ListBullet"/>
        <w:spacing w:after="60"/>
      </w:pPr>
      <w:r>
        <w:rPr>
          <w:rFonts w:ascii="Arial" w:hAnsi="Arial" w:eastAsia="Arial"/>
          <w:color w:val="222222"/>
          <w:sz w:val="22"/>
        </w:rPr>
        <w:t>Do chủ thể có năng lực trách nhiệm pháp lý thực hiện.</w:t>
      </w:r>
    </w:p>
    <w:p>
      <w:pPr>
        <w:pStyle w:val="Heading3"/>
      </w:pPr>
      <w:r>
        <w:t>Phân loại</w:t>
      </w:r>
    </w:p>
    <w:p>
      <w:pPr>
        <w:pStyle w:val="ListBullet"/>
        <w:spacing w:after="60"/>
      </w:pPr>
      <w:r>
        <w:rPr>
          <w:rFonts w:ascii="Arial" w:hAnsi="Arial" w:eastAsia="Arial"/>
          <w:color w:val="222222"/>
          <w:sz w:val="22"/>
        </w:rPr>
        <w:t>Vi phạm hình sự (tội phạm).</w:t>
      </w:r>
    </w:p>
    <w:p>
      <w:pPr>
        <w:pStyle w:val="ListBullet"/>
        <w:spacing w:after="60"/>
      </w:pPr>
      <w:r>
        <w:rPr>
          <w:rFonts w:ascii="Arial" w:hAnsi="Arial" w:eastAsia="Arial"/>
          <w:color w:val="222222"/>
          <w:sz w:val="22"/>
        </w:rPr>
        <w:t>Vi phạm hành chính.</w:t>
      </w:r>
    </w:p>
    <w:p>
      <w:pPr>
        <w:pStyle w:val="ListBullet"/>
        <w:spacing w:after="60"/>
      </w:pPr>
      <w:r>
        <w:rPr>
          <w:rFonts w:ascii="Arial" w:hAnsi="Arial" w:eastAsia="Arial"/>
          <w:color w:val="222222"/>
          <w:sz w:val="22"/>
        </w:rPr>
        <w:t>Vi phạm dân sự.</w:t>
      </w:r>
    </w:p>
    <w:p>
      <w:pPr>
        <w:pStyle w:val="ListBullet"/>
        <w:spacing w:after="60"/>
      </w:pPr>
      <w:r>
        <w:rPr>
          <w:rFonts w:ascii="Arial" w:hAnsi="Arial" w:eastAsia="Arial"/>
          <w:color w:val="222222"/>
          <w:sz w:val="22"/>
        </w:rPr>
        <w:t>Vi phạm kỷ luật.</w:t>
      </w:r>
    </w:p>
    <w:p>
      <w:pPr>
        <w:pStyle w:val="ListBullet"/>
        <w:spacing w:after="60"/>
      </w:pPr>
      <w:r>
        <w:rPr>
          <w:rFonts w:ascii="Arial" w:hAnsi="Arial" w:eastAsia="Arial"/>
          <w:color w:val="222222"/>
          <w:sz w:val="22"/>
        </w:rPr>
        <w:t>Một hành vi có thể đồng thời làm phát sinh nhiều loại trách nhiệm pháp lý nếu đủ căn cứ.</w:t>
      </w:r>
    </w:p>
    <w:p>
      <w:pPr>
        <w:pStyle w:val="Heading3"/>
      </w:pPr>
      <w:r>
        <w:t>Cơ sở pháp lý</w:t>
      </w:r>
    </w:p>
    <w:p>
      <w:r>
        <w:rPr>
          <w:rFonts w:ascii="Arial" w:hAnsi="Arial" w:eastAsia="Arial"/>
          <w:color w:val="222222"/>
          <w:sz w:val="22"/>
        </w:rPr>
        <w:t>Lý luận Nhà nước và pháp luật; các luật chuyên ngành quy định từng loại vi phạm.</w:t>
      </w:r>
    </w:p>
    <w:p>
      <w:pPr>
        <w:pStyle w:val="Heading3"/>
      </w:pPr>
      <w:r>
        <w:t>Phân tích chi tiết</w:t>
      </w:r>
    </w:p>
    <w:p>
      <w:pPr>
        <w:pStyle w:val="ListBullet"/>
        <w:spacing w:after="60"/>
      </w:pPr>
      <w:r>
        <w:rPr>
          <w:rFonts w:ascii="Arial" w:hAnsi="Arial" w:eastAsia="Arial"/>
          <w:color w:val="222222"/>
          <w:sz w:val="22"/>
        </w:rPr>
        <w:t>Vi phạm pháp luật phải là hành vi biểu hiện ra bên ngoài bằng hành động hoặc không hành động. Suy nghĩ hoặc ý định chưa biểu hiện thành hành vi không phải vi phạm.</w:t>
      </w:r>
    </w:p>
    <w:p>
      <w:pPr>
        <w:pStyle w:val="ListBullet"/>
        <w:spacing w:after="60"/>
      </w:pPr>
      <w:r>
        <w:rPr>
          <w:rFonts w:ascii="Arial" w:hAnsi="Arial" w:eastAsia="Arial"/>
          <w:color w:val="222222"/>
          <w:sz w:val="22"/>
        </w:rPr>
        <w:t>Hành vi phải trái quy định pháp luật và xâm hại hoặc đe dọa xâm hại quan hệ được bảo vệ. Không phải hành vi gây phản cảm nào cũng là vi phạm nếu pháp luật không điều chỉnh.</w:t>
      </w:r>
    </w:p>
    <w:p>
      <w:pPr>
        <w:pStyle w:val="ListBullet"/>
        <w:spacing w:after="60"/>
      </w:pPr>
      <w:r>
        <w:rPr>
          <w:rFonts w:ascii="Arial" w:hAnsi="Arial" w:eastAsia="Arial"/>
          <w:color w:val="222222"/>
          <w:sz w:val="22"/>
        </w:rPr>
        <w:t>Chủ thể phải có lỗi. Lỗi là thái độ tâm lý đối với hành vi và hậu quả trong điều kiện có khả năng lựa chọn cách xử sự phù hợp.</w:t>
      </w:r>
    </w:p>
    <w:p>
      <w:pPr>
        <w:pStyle w:val="ListBullet"/>
        <w:spacing w:after="60"/>
      </w:pPr>
      <w:r>
        <w:rPr>
          <w:rFonts w:ascii="Arial" w:hAnsi="Arial" w:eastAsia="Arial"/>
          <w:color w:val="222222"/>
          <w:sz w:val="22"/>
        </w:rPr>
        <w:t>Chủ thể phải có năng lực trách nhiệm pháp lý theo ngành luật, phụ thuộc độ tuổi, khả năng nhận thức và tư cách tổ chức.</w:t>
      </w:r>
    </w:p>
    <w:p>
      <w:pPr>
        <w:pStyle w:val="ListBullet"/>
        <w:spacing w:after="60"/>
      </w:pPr>
      <w:r>
        <w:rPr>
          <w:rFonts w:ascii="Arial" w:hAnsi="Arial" w:eastAsia="Arial"/>
          <w:color w:val="222222"/>
          <w:sz w:val="22"/>
        </w:rPr>
        <w:t>Vi phạm hình sự có tính nguy hiểm cao và được BLHS quy định; vi phạm hành chính xâm phạm quản lý nhà nước nhưng không phải tội; vi phạm dân sự xâm phạm tài sản, nhân thân hoặc nghĩa vụ; vi phạm kỷ luật xâm phạm trật tự nội bộ.</w:t>
      </w:r>
    </w:p>
    <w:p>
      <w:pPr>
        <w:pStyle w:val="ListBullet"/>
        <w:spacing w:after="60"/>
      </w:pPr>
      <w:r>
        <w:rPr>
          <w:rFonts w:ascii="Arial" w:hAnsi="Arial" w:eastAsia="Arial"/>
          <w:color w:val="222222"/>
          <w:sz w:val="22"/>
        </w:rPr>
        <w:t>Một hành vi có thể làm phát sinh nhiều trách nhiệm: người lao động cố ý phá tài sản có thể bị kỷ luật, bồi thường và bị xử lý hình sự nếu đủ dấu hiệu.</w:t>
      </w:r>
    </w:p>
    <w:p>
      <w:pPr>
        <w:pStyle w:val="Heading3"/>
      </w:pPr>
      <w:r>
        <w:t>Ví dụ minh họa</w:t>
      </w:r>
    </w:p>
    <w:p>
      <w:pPr>
        <w:jc w:val="both"/>
      </w:pPr>
      <w:r>
        <w:rPr>
          <w:rFonts w:ascii="Arial" w:hAnsi="Arial" w:eastAsia="Arial"/>
          <w:color w:val="222222"/>
          <w:sz w:val="22"/>
        </w:rPr>
        <w:t>Người lái xe vượt sai gây thương tích có thể bị xử phạt hành chính, bồi thường; nếu hậu quả và các dấu hiệu đạt ngưỡng luật hình sự thì còn bị truy cứu.</w:t>
      </w:r>
    </w:p>
    <w:p>
      <w:pPr>
        <w:pStyle w:val="Heading3"/>
      </w:pPr>
      <w:r>
        <w:t>Những lỗi dễ mất điểm</w:t>
      </w:r>
    </w:p>
    <w:p>
      <w:pPr>
        <w:pStyle w:val="ListBullet"/>
        <w:spacing w:after="60"/>
      </w:pPr>
      <w:r>
        <w:rPr>
          <w:rFonts w:ascii="Arial" w:hAnsi="Arial" w:eastAsia="Arial"/>
          <w:color w:val="222222"/>
          <w:sz w:val="22"/>
        </w:rPr>
        <w:t>Đòi hỏi mọi vi phạm phải có thiệt hại thực tế.</w:t>
      </w:r>
    </w:p>
    <w:p>
      <w:pPr>
        <w:pStyle w:val="ListBullet"/>
        <w:spacing w:after="60"/>
      </w:pPr>
      <w:r>
        <w:rPr>
          <w:rFonts w:ascii="Arial" w:hAnsi="Arial" w:eastAsia="Arial"/>
          <w:color w:val="222222"/>
          <w:sz w:val="22"/>
        </w:rPr>
        <w:t>Dùng “năng lực hành vi” thay “năng lực trách nhiệm pháp lý”.</w:t>
      </w:r>
    </w:p>
    <w:p>
      <w:pPr>
        <w:pStyle w:val="ListBullet"/>
        <w:spacing w:after="60"/>
      </w:pPr>
      <w:r>
        <w:rPr>
          <w:rFonts w:ascii="Arial" w:hAnsi="Arial" w:eastAsia="Arial"/>
          <w:color w:val="222222"/>
          <w:sz w:val="22"/>
        </w:rPr>
        <w:t>Cho rằng mỗi hành vi chỉ chịu một trách nhiệm.</w:t>
      </w:r>
    </w:p>
    <w:p>
      <w:pPr>
        <w:pStyle w:val="Heading3"/>
      </w:pPr>
      <w:r>
        <w:t>Dàn ý trả lời khi thi</w:t>
      </w:r>
    </w:p>
    <w:p>
      <w:pPr>
        <w:pStyle w:val="ListNumber"/>
        <w:spacing w:after="60"/>
      </w:pPr>
      <w:r>
        <w:rPr>
          <w:rFonts w:ascii="Arial" w:hAnsi="Arial" w:eastAsia="Arial"/>
          <w:color w:val="222222"/>
          <w:sz w:val="22"/>
        </w:rPr>
        <w:t>Khái niệm.</w:t>
      </w:r>
    </w:p>
    <w:p>
      <w:pPr>
        <w:pStyle w:val="ListNumber"/>
        <w:spacing w:after="60"/>
      </w:pPr>
      <w:r>
        <w:rPr>
          <w:rFonts w:ascii="Arial" w:hAnsi="Arial" w:eastAsia="Arial"/>
          <w:color w:val="222222"/>
          <w:sz w:val="22"/>
        </w:rPr>
        <w:t>Hành vi.</w:t>
      </w:r>
    </w:p>
    <w:p>
      <w:pPr>
        <w:pStyle w:val="ListNumber"/>
        <w:spacing w:after="60"/>
      </w:pPr>
      <w:r>
        <w:rPr>
          <w:rFonts w:ascii="Arial" w:hAnsi="Arial" w:eastAsia="Arial"/>
          <w:color w:val="222222"/>
          <w:sz w:val="22"/>
        </w:rPr>
        <w:t>Trái pháp luật.</w:t>
      </w:r>
    </w:p>
    <w:p>
      <w:pPr>
        <w:pStyle w:val="ListNumber"/>
        <w:spacing w:after="60"/>
      </w:pPr>
      <w:r>
        <w:rPr>
          <w:rFonts w:ascii="Arial" w:hAnsi="Arial" w:eastAsia="Arial"/>
          <w:color w:val="222222"/>
          <w:sz w:val="22"/>
        </w:rPr>
        <w:t>Có lỗi.</w:t>
      </w:r>
    </w:p>
    <w:p>
      <w:pPr>
        <w:pStyle w:val="ListNumber"/>
        <w:spacing w:after="60"/>
      </w:pPr>
      <w:r>
        <w:rPr>
          <w:rFonts w:ascii="Arial" w:hAnsi="Arial" w:eastAsia="Arial"/>
          <w:color w:val="222222"/>
          <w:sz w:val="22"/>
        </w:rPr>
        <w:t>Năng lực trách nhiệm.</w:t>
      </w:r>
    </w:p>
    <w:p>
      <w:pPr>
        <w:pStyle w:val="ListNumber"/>
        <w:spacing w:after="60"/>
      </w:pPr>
      <w:r>
        <w:rPr>
          <w:rFonts w:ascii="Arial" w:hAnsi="Arial" w:eastAsia="Arial"/>
          <w:color w:val="222222"/>
          <w:sz w:val="22"/>
        </w:rPr>
        <w:t>Bốn loại vi phạm và ví dụ.</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hành vi; trái pháp luật; có lỗi; năng lực trách nhiệm pháp lý; hình sự; hành chính; dân sự; kỷ luật</w:t>
            </w:r>
          </w:p>
        </w:tc>
      </w:tr>
    </w:tbl>
    <w:p>
      <w:pPr>
        <w:spacing w:after="0"/>
      </w:pPr>
    </w:p>
    <w:p>
      <w:pPr>
        <w:pStyle w:val="Heading2"/>
      </w:pPr>
      <w:r>
        <w:t>Câu 11. Thừa kế và thừa kế theo di chúc</w:t>
      </w:r>
    </w:p>
    <w:p>
      <w:pPr>
        <w:pStyle w:val="Heading3"/>
      </w:pPr>
      <w:r>
        <w:t>Khái niệm</w:t>
      </w:r>
    </w:p>
    <w:p>
      <w:pPr>
        <w:jc w:val="both"/>
      </w:pPr>
      <w:r>
        <w:rPr>
          <w:rFonts w:ascii="Arial" w:hAnsi="Arial" w:eastAsia="Arial"/>
          <w:color w:val="222222"/>
          <w:sz w:val="22"/>
        </w:rPr>
        <w:t>Thừa kế là việc chuyển dịch tài sản của người chết cho người còn sống theo di chúc hoặc theo pháp luật. Di chúc là sự thể hiện ý chí của cá nhân nhằm chuyển tài sản của mình cho người khác sau khi chết.</w:t>
      </w:r>
    </w:p>
    <w:p>
      <w:pPr>
        <w:pStyle w:val="Heading3"/>
      </w:pPr>
      <w:r>
        <w:t>Điều kiện di chúc hợp pháp</w:t>
      </w:r>
    </w:p>
    <w:p>
      <w:pPr>
        <w:pStyle w:val="ListBullet"/>
        <w:spacing w:after="60"/>
      </w:pPr>
      <w:r>
        <w:rPr>
          <w:rFonts w:ascii="Arial" w:hAnsi="Arial" w:eastAsia="Arial"/>
          <w:color w:val="222222"/>
          <w:sz w:val="22"/>
        </w:rPr>
        <w:t>Người lập minh mẫn, sáng suốt; không bị lừa dối, đe dọa hoặc cưỡng ép.</w:t>
      </w:r>
    </w:p>
    <w:p>
      <w:pPr>
        <w:pStyle w:val="ListBullet"/>
        <w:spacing w:after="60"/>
      </w:pPr>
      <w:r>
        <w:rPr>
          <w:rFonts w:ascii="Arial" w:hAnsi="Arial" w:eastAsia="Arial"/>
          <w:color w:val="222222"/>
          <w:sz w:val="22"/>
        </w:rPr>
        <w:t>Nội dung không vi phạm điều cấm, không trái đạo đức xã hội; hình thức phù hợp luật.</w:t>
      </w:r>
    </w:p>
    <w:p>
      <w:pPr>
        <w:pStyle w:val="ListBullet"/>
        <w:spacing w:after="60"/>
      </w:pPr>
      <w:r>
        <w:rPr>
          <w:rFonts w:ascii="Arial" w:hAnsi="Arial" w:eastAsia="Arial"/>
          <w:color w:val="222222"/>
          <w:sz w:val="22"/>
        </w:rPr>
        <w:t>Người từ đủ 15 đến dưới 18 tuổi lập bằng văn bản và được cha, mẹ hoặc người giám hộ đồng ý về việc lập di chúc.</w:t>
      </w:r>
    </w:p>
    <w:p>
      <w:pPr>
        <w:pStyle w:val="ListBullet"/>
        <w:spacing w:after="60"/>
      </w:pPr>
      <w:r>
        <w:rPr>
          <w:rFonts w:ascii="Arial" w:hAnsi="Arial" w:eastAsia="Arial"/>
          <w:color w:val="222222"/>
          <w:sz w:val="22"/>
        </w:rPr>
        <w:t>Di chúc miệng chỉ trong tình trạng tính mạng bị đe dọa và phải tuân thủ điều kiện người làm chứng, ghi chép, xác nhận theo luật.</w:t>
      </w:r>
    </w:p>
    <w:p>
      <w:pPr>
        <w:pStyle w:val="Heading3"/>
      </w:pPr>
      <w:r>
        <w:t>Nội dung cần nhớ</w:t>
      </w:r>
    </w:p>
    <w:p>
      <w:pPr>
        <w:pStyle w:val="ListBullet"/>
        <w:spacing w:after="60"/>
      </w:pPr>
      <w:r>
        <w:rPr>
          <w:rFonts w:ascii="Arial" w:hAnsi="Arial" w:eastAsia="Arial"/>
          <w:color w:val="222222"/>
          <w:sz w:val="22"/>
        </w:rPr>
        <w:t>Quyền chỉ định, truất quyền, phân chia di sản, di tặng, dành tài sản thờ cúng và giao nghĩa vụ.</w:t>
      </w:r>
    </w:p>
    <w:p>
      <w:pPr>
        <w:pStyle w:val="ListBullet"/>
        <w:spacing w:after="60"/>
      </w:pPr>
      <w:r>
        <w:rPr>
          <w:rFonts w:ascii="Arial" w:hAnsi="Arial" w:eastAsia="Arial"/>
          <w:color w:val="222222"/>
          <w:sz w:val="22"/>
        </w:rPr>
        <w:t>Người thừa kế không phụ thuộc nội dung di chúc: cha, mẹ, vợ/chồng, con chưa thành niên và con thành niên không có khả năng lao động, trừ trường hợp luật loại trừ.</w:t>
      </w:r>
    </w:p>
    <w:p>
      <w:pPr>
        <w:pStyle w:val="ListBullet"/>
        <w:spacing w:after="60"/>
      </w:pPr>
      <w:r>
        <w:rPr>
          <w:rFonts w:ascii="Arial" w:hAnsi="Arial" w:eastAsia="Arial"/>
          <w:color w:val="222222"/>
          <w:sz w:val="22"/>
        </w:rPr>
        <w:t>BLDS 2015 không còn chế định riêng về di chúc chung của vợ chồng như BLDS 2005.</w:t>
      </w:r>
    </w:p>
    <w:p>
      <w:pPr>
        <w:pStyle w:val="ListBullet"/>
        <w:spacing w:after="60"/>
      </w:pPr>
      <w:r>
        <w:rPr>
          <w:rFonts w:ascii="Arial" w:hAnsi="Arial" w:eastAsia="Arial"/>
          <w:color w:val="222222"/>
          <w:sz w:val="22"/>
        </w:rPr>
        <w:t>Trước khi chia phải xác định tài sản của người chết, tách tài sản chung và thanh toán nghĩa vụ tài sản.</w:t>
      </w:r>
    </w:p>
    <w:p>
      <w:pPr>
        <w:pStyle w:val="Heading3"/>
      </w:pPr>
      <w:r>
        <w:t>Cơ sở pháp lý</w:t>
      </w:r>
    </w:p>
    <w:p>
      <w:r>
        <w:rPr>
          <w:rFonts w:ascii="Arial" w:hAnsi="Arial" w:eastAsia="Arial"/>
          <w:color w:val="222222"/>
          <w:sz w:val="22"/>
        </w:rPr>
        <w:t>Phần thứ tư Bộ luật Dân sự năm 2015, đặc biệt quy định về di chúc, hiệu lực, người thừa kế bắt buộc và thừa kế theo pháp luật.</w:t>
      </w:r>
    </w:p>
    <w:p>
      <w:pPr>
        <w:pStyle w:val="Heading3"/>
      </w:pPr>
      <w:r>
        <w:t>Phân tích chi tiết</w:t>
      </w:r>
    </w:p>
    <w:p>
      <w:pPr>
        <w:pStyle w:val="ListBullet"/>
        <w:spacing w:after="60"/>
      </w:pPr>
      <w:r>
        <w:rPr>
          <w:rFonts w:ascii="Arial" w:hAnsi="Arial" w:eastAsia="Arial"/>
          <w:color w:val="222222"/>
          <w:sz w:val="22"/>
        </w:rPr>
        <w:t>Thừa kế là sự chuyển dịch tài sản của người chết. Di sản chỉ gồm tài sản riêng và phần của người chết trong tài sản chung, sau khi xác định nghĩa vụ tài sản.</w:t>
      </w:r>
    </w:p>
    <w:p>
      <w:pPr>
        <w:pStyle w:val="ListBullet"/>
        <w:spacing w:after="60"/>
      </w:pPr>
      <w:r>
        <w:rPr>
          <w:rFonts w:ascii="Arial" w:hAnsi="Arial" w:eastAsia="Arial"/>
          <w:color w:val="222222"/>
          <w:sz w:val="22"/>
        </w:rPr>
        <w:t>Di chúc hợp pháp đòi hỏi người lập minh mẫn, tự nguyện; nội dung không vi phạm điều cấm, đạo đức xã hội; hình thức phù hợp. Di chúc công chứng vẫn có thể vô hiệu nếu bị cưỡng ép.</w:t>
      </w:r>
    </w:p>
    <w:p>
      <w:pPr>
        <w:pStyle w:val="ListBullet"/>
        <w:spacing w:after="60"/>
      </w:pPr>
      <w:r>
        <w:rPr>
          <w:rFonts w:ascii="Arial" w:hAnsi="Arial" w:eastAsia="Arial"/>
          <w:color w:val="222222"/>
          <w:sz w:val="22"/>
        </w:rPr>
        <w:t>Người từ đủ 15 đến dưới 18 tuổi phải lập di chúc bằng văn bản và được cha mẹ hoặc người giám hộ đồng ý về việc lập; không nên viết bắt buộc cha mẹ ký thay vào di chúc.</w:t>
      </w:r>
    </w:p>
    <w:p>
      <w:pPr>
        <w:pStyle w:val="ListBullet"/>
        <w:spacing w:after="60"/>
      </w:pPr>
      <w:r>
        <w:rPr>
          <w:rFonts w:ascii="Arial" w:hAnsi="Arial" w:eastAsia="Arial"/>
          <w:color w:val="222222"/>
          <w:sz w:val="22"/>
        </w:rPr>
        <w:t>Di chúc miệng chỉ khi tính mạng bị đe dọa và không thể lập văn bản; phải có ít nhất hai người làm chứng, ghi chép, ký/điểm chỉ và được xác nhận theo thời hạn luật định. Sau ba tháng người lập còn sống, minh mẫn thì di chúc miệng mặc nhiên bị hủy bỏ.</w:t>
      </w:r>
    </w:p>
    <w:p>
      <w:pPr>
        <w:pStyle w:val="ListBullet"/>
        <w:spacing w:after="60"/>
      </w:pPr>
      <w:r>
        <w:rPr>
          <w:rFonts w:ascii="Arial" w:hAnsi="Arial" w:eastAsia="Arial"/>
          <w:color w:val="222222"/>
          <w:sz w:val="22"/>
        </w:rPr>
        <w:t>Người thừa kế bắt buộc gồm cha, mẹ, vợ/chồng, con chưa thành niên, con thành niên không có khả năng lao động; được ít nhất hai phần ba suất theo pháp luật, trừ trường hợp từ chối hoặc không có quyền hưởng.</w:t>
      </w:r>
    </w:p>
    <w:p>
      <w:pPr>
        <w:pStyle w:val="ListBullet"/>
        <w:spacing w:after="60"/>
      </w:pPr>
      <w:r>
        <w:rPr>
          <w:rFonts w:ascii="Arial" w:hAnsi="Arial" w:eastAsia="Arial"/>
          <w:color w:val="222222"/>
          <w:sz w:val="22"/>
        </w:rPr>
        <w:t>BLDS 2015 không còn chế định riêng về di chúc chung của vợ chồng. Mỗi người chỉ định đoạt phần tài sản thuộc quyền của mình.</w:t>
      </w:r>
    </w:p>
    <w:p>
      <w:pPr>
        <w:pStyle w:val="ListBullet"/>
        <w:spacing w:after="60"/>
      </w:pPr>
      <w:r>
        <w:rPr>
          <w:rFonts w:ascii="Arial" w:hAnsi="Arial" w:eastAsia="Arial"/>
          <w:color w:val="222222"/>
          <w:sz w:val="22"/>
        </w:rPr>
        <w:t>Khi giải bài phải theo thứ tự: thời điểm mở thừa kế – di sản – nghĩa vụ – di chúc – người hưởng – chia phần – kiểm tra tổng.</w:t>
      </w:r>
    </w:p>
    <w:p>
      <w:pPr>
        <w:pStyle w:val="Heading3"/>
      </w:pPr>
      <w:r>
        <w:t>Ví dụ minh họa</w:t>
      </w:r>
    </w:p>
    <w:p>
      <w:pPr>
        <w:jc w:val="both"/>
      </w:pPr>
      <w:r>
        <w:rPr>
          <w:rFonts w:ascii="Arial" w:hAnsi="Arial" w:eastAsia="Arial"/>
          <w:color w:val="222222"/>
          <w:sz w:val="22"/>
        </w:rPr>
        <w:t>Tài sản chung vợ chồng 900 triệu và người chết có 100 triệu riêng: di sản là 450 + 100 = 550 triệu, không phải một tỷ.</w:t>
      </w:r>
    </w:p>
    <w:p>
      <w:pPr>
        <w:pStyle w:val="Heading3"/>
      </w:pPr>
      <w:r>
        <w:t>Những lỗi dễ mất điểm</w:t>
      </w:r>
    </w:p>
    <w:p>
      <w:pPr>
        <w:pStyle w:val="ListBullet"/>
        <w:spacing w:after="60"/>
      </w:pPr>
      <w:r>
        <w:rPr>
          <w:rFonts w:ascii="Arial" w:hAnsi="Arial" w:eastAsia="Arial"/>
          <w:color w:val="222222"/>
          <w:sz w:val="22"/>
        </w:rPr>
        <w:t>Chia toàn bộ tài sản chung.</w:t>
      </w:r>
    </w:p>
    <w:p>
      <w:pPr>
        <w:pStyle w:val="ListBullet"/>
        <w:spacing w:after="60"/>
      </w:pPr>
      <w:r>
        <w:rPr>
          <w:rFonts w:ascii="Arial" w:hAnsi="Arial" w:eastAsia="Arial"/>
          <w:color w:val="222222"/>
          <w:sz w:val="22"/>
        </w:rPr>
        <w:t>Bỏ người thừa kế bắt buộc.</w:t>
      </w:r>
    </w:p>
    <w:p>
      <w:pPr>
        <w:pStyle w:val="ListBullet"/>
        <w:spacing w:after="60"/>
      </w:pPr>
      <w:r>
        <w:rPr>
          <w:rFonts w:ascii="Arial" w:hAnsi="Arial" w:eastAsia="Arial"/>
          <w:color w:val="222222"/>
          <w:sz w:val="22"/>
        </w:rPr>
        <w:t>Dùng di chúc chung vợ chồng của luật cũ.</w:t>
      </w:r>
    </w:p>
    <w:p>
      <w:pPr>
        <w:pStyle w:val="ListBullet"/>
        <w:spacing w:after="60"/>
      </w:pPr>
      <w:r>
        <w:rPr>
          <w:rFonts w:ascii="Arial" w:hAnsi="Arial" w:eastAsia="Arial"/>
          <w:color w:val="222222"/>
          <w:sz w:val="22"/>
        </w:rPr>
        <w:t>Bỏ cha mẹ người chết khi đề chưa cho dữ kiện.</w:t>
      </w:r>
    </w:p>
    <w:p>
      <w:pPr>
        <w:pStyle w:val="Heading3"/>
      </w:pPr>
      <w:r>
        <w:t>Dàn ý trả lời khi thi</w:t>
      </w:r>
    </w:p>
    <w:p>
      <w:pPr>
        <w:pStyle w:val="ListNumber"/>
        <w:spacing w:after="60"/>
      </w:pPr>
      <w:r>
        <w:rPr>
          <w:rFonts w:ascii="Arial" w:hAnsi="Arial" w:eastAsia="Arial"/>
          <w:color w:val="222222"/>
          <w:sz w:val="22"/>
        </w:rPr>
        <w:t>Khái niệm và di sản.</w:t>
      </w:r>
    </w:p>
    <w:p>
      <w:pPr>
        <w:pStyle w:val="ListNumber"/>
        <w:spacing w:after="60"/>
      </w:pPr>
      <w:r>
        <w:rPr>
          <w:rFonts w:ascii="Arial" w:hAnsi="Arial" w:eastAsia="Arial"/>
          <w:color w:val="222222"/>
          <w:sz w:val="22"/>
        </w:rPr>
        <w:t>Di chúc, điều kiện hợp pháp.</w:t>
      </w:r>
    </w:p>
    <w:p>
      <w:pPr>
        <w:pStyle w:val="ListNumber"/>
        <w:spacing w:after="60"/>
      </w:pPr>
      <w:r>
        <w:rPr>
          <w:rFonts w:ascii="Arial" w:hAnsi="Arial" w:eastAsia="Arial"/>
          <w:color w:val="222222"/>
          <w:sz w:val="22"/>
        </w:rPr>
        <w:t>Hình thức.</w:t>
      </w:r>
    </w:p>
    <w:p>
      <w:pPr>
        <w:pStyle w:val="ListNumber"/>
        <w:spacing w:after="60"/>
      </w:pPr>
      <w:r>
        <w:rPr>
          <w:rFonts w:ascii="Arial" w:hAnsi="Arial" w:eastAsia="Arial"/>
          <w:color w:val="222222"/>
          <w:sz w:val="22"/>
        </w:rPr>
        <w:t>Quyền người lập.</w:t>
      </w:r>
    </w:p>
    <w:p>
      <w:pPr>
        <w:pStyle w:val="ListNumber"/>
        <w:spacing w:after="60"/>
      </w:pPr>
      <w:r>
        <w:rPr>
          <w:rFonts w:ascii="Arial" w:hAnsi="Arial" w:eastAsia="Arial"/>
          <w:color w:val="222222"/>
          <w:sz w:val="22"/>
        </w:rPr>
        <w:t>Người thừa kế bắt buộc.</w:t>
      </w:r>
    </w:p>
    <w:p>
      <w:pPr>
        <w:pStyle w:val="ListNumber"/>
        <w:spacing w:after="60"/>
      </w:pPr>
      <w:r>
        <w:rPr>
          <w:rFonts w:ascii="Arial" w:hAnsi="Arial" w:eastAsia="Arial"/>
          <w:color w:val="222222"/>
          <w:sz w:val="22"/>
        </w:rPr>
        <w:t>Hiệu lực và cách chia.</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di sản; thời điểm mở thừa kế; di chúc hợp pháp; người thừa kế bắt buộc; tách tài sản chung; nghĩa vụ tài sản</w:t>
            </w:r>
          </w:p>
        </w:tc>
      </w:tr>
    </w:tbl>
    <w:p>
      <w:pPr>
        <w:spacing w:after="0"/>
      </w:pPr>
    </w:p>
    <w:p>
      <w:pPr>
        <w:pStyle w:val="Heading2"/>
      </w:pPr>
      <w:r>
        <w:t>Câu 12. Luật Lao động: khái niệm, đối tượng và phương pháp điều chỉnh</w:t>
      </w:r>
    </w:p>
    <w:p>
      <w:pPr>
        <w:pStyle w:val="Heading3"/>
      </w:pPr>
      <w:r>
        <w:t>Khái niệm</w:t>
      </w:r>
    </w:p>
    <w:p>
      <w:pPr>
        <w:jc w:val="both"/>
      </w:pPr>
      <w:r>
        <w:rPr>
          <w:rFonts w:ascii="Arial" w:hAnsi="Arial" w:eastAsia="Arial"/>
          <w:color w:val="222222"/>
          <w:sz w:val="22"/>
        </w:rPr>
        <w:t>Luật Lao động là ngành luật điều chỉnh quan hệ lao động giữa người lao động và người sử dụng lao động cùng các quan hệ liên quan trực tiếp.</w:t>
      </w:r>
    </w:p>
    <w:p>
      <w:pPr>
        <w:pStyle w:val="Heading3"/>
      </w:pPr>
      <w:r>
        <w:t>Đối tượng</w:t>
      </w:r>
    </w:p>
    <w:p>
      <w:pPr>
        <w:pStyle w:val="ListBullet"/>
        <w:spacing w:after="60"/>
      </w:pPr>
      <w:r>
        <w:rPr>
          <w:rFonts w:ascii="Arial" w:hAnsi="Arial" w:eastAsia="Arial"/>
          <w:color w:val="222222"/>
          <w:sz w:val="22"/>
        </w:rPr>
        <w:t>Quan hệ phát sinh từ việc làm có trả công, tiền lương và sự quản lý, điều hành, giám sát của một bên.</w:t>
      </w:r>
    </w:p>
    <w:p>
      <w:pPr>
        <w:pStyle w:val="ListBullet"/>
        <w:spacing w:after="60"/>
      </w:pPr>
      <w:r>
        <w:rPr>
          <w:rFonts w:ascii="Arial" w:hAnsi="Arial" w:eastAsia="Arial"/>
          <w:color w:val="222222"/>
          <w:sz w:val="22"/>
        </w:rPr>
        <w:t>Quan hệ việc làm, học nghề, đối thoại, thương lượng tập thể, an toàn vệ sinh lao động, bảo hiểm, đại diện người lao động và giải quyết tranh chấp.</w:t>
      </w:r>
    </w:p>
    <w:p>
      <w:pPr>
        <w:pStyle w:val="Heading3"/>
      </w:pPr>
      <w:r>
        <w:t>Phương pháp</w:t>
      </w:r>
    </w:p>
    <w:p>
      <w:pPr>
        <w:pStyle w:val="ListBullet"/>
        <w:spacing w:after="60"/>
      </w:pPr>
      <w:r>
        <w:rPr>
          <w:rFonts w:ascii="Arial" w:hAnsi="Arial" w:eastAsia="Arial"/>
          <w:color w:val="222222"/>
          <w:sz w:val="22"/>
        </w:rPr>
        <w:t>Thỏa thuận trên cơ sở tự nguyện nhưng phải tuân thủ chuẩn tối thiểu bảo vệ người lao động.</w:t>
      </w:r>
    </w:p>
    <w:p>
      <w:pPr>
        <w:pStyle w:val="ListBullet"/>
        <w:spacing w:after="60"/>
      </w:pPr>
      <w:r>
        <w:rPr>
          <w:rFonts w:ascii="Arial" w:hAnsi="Arial" w:eastAsia="Arial"/>
          <w:color w:val="222222"/>
          <w:sz w:val="22"/>
        </w:rPr>
        <w:t>Quyền quản lý, điều hành của người sử dụng lao động trong giới hạn pháp luật.</w:t>
      </w:r>
    </w:p>
    <w:p>
      <w:pPr>
        <w:pStyle w:val="ListBullet"/>
        <w:spacing w:after="60"/>
      </w:pPr>
      <w:r>
        <w:rPr>
          <w:rFonts w:ascii="Arial" w:hAnsi="Arial" w:eastAsia="Arial"/>
          <w:color w:val="222222"/>
          <w:sz w:val="22"/>
        </w:rPr>
        <w:t>Sự tham gia của tổ chức đại diện người lao động và cơ chế thương lượng tập thể.</w:t>
      </w:r>
    </w:p>
    <w:p>
      <w:pPr>
        <w:pStyle w:val="Heading3"/>
      </w:pPr>
      <w:r>
        <w:t>Cơ sở pháp lý</w:t>
      </w:r>
    </w:p>
    <w:p>
      <w:r>
        <w:rPr>
          <w:rFonts w:ascii="Arial" w:hAnsi="Arial" w:eastAsia="Arial"/>
          <w:color w:val="222222"/>
          <w:sz w:val="22"/>
        </w:rPr>
        <w:t>Bộ luật Lao động năm 2019, có hiệu lực từ ngày 01/01/2021.</w:t>
      </w:r>
    </w:p>
    <w:p>
      <w:pPr>
        <w:pStyle w:val="Heading3"/>
      </w:pPr>
      <w:r>
        <w:t>Phân tích chi tiết</w:t>
      </w:r>
    </w:p>
    <w:p>
      <w:pPr>
        <w:pStyle w:val="ListBullet"/>
        <w:spacing w:after="60"/>
      </w:pPr>
      <w:r>
        <w:rPr>
          <w:rFonts w:ascii="Arial" w:hAnsi="Arial" w:eastAsia="Arial"/>
          <w:color w:val="222222"/>
          <w:sz w:val="22"/>
        </w:rPr>
        <w:t>Đối tượng trung tâm là quan hệ lao động có việc làm, trả công/tiền lương và sự quản lý, điều hành, giám sát của người sử dụng lao động.</w:t>
      </w:r>
    </w:p>
    <w:p>
      <w:pPr>
        <w:pStyle w:val="ListBullet"/>
        <w:spacing w:after="60"/>
      </w:pPr>
      <w:r>
        <w:rPr>
          <w:rFonts w:ascii="Arial" w:hAnsi="Arial" w:eastAsia="Arial"/>
          <w:color w:val="222222"/>
          <w:sz w:val="22"/>
        </w:rPr>
        <w:t>Các quan hệ liên quan gồm việc làm, học nghề, an toàn vệ sinh, đối thoại, thương lượng tập thể, tổ chức đại diện, bảo hiểm và giải quyết tranh chấp.</w:t>
      </w:r>
    </w:p>
    <w:p>
      <w:pPr>
        <w:pStyle w:val="ListBullet"/>
        <w:spacing w:after="60"/>
      </w:pPr>
      <w:r>
        <w:rPr>
          <w:rFonts w:ascii="Arial" w:hAnsi="Arial" w:eastAsia="Arial"/>
          <w:color w:val="222222"/>
          <w:sz w:val="22"/>
        </w:rPr>
        <w:t>Phương pháp thỏa thuận thể hiện trong giao kết hợp đồng và thương lượng nhưng không tuyệt đối; các bên không được thỏa thuận thấp hơn tiêu chuẩn tối thiểu có lợi cho người lao động.</w:t>
      </w:r>
    </w:p>
    <w:p>
      <w:pPr>
        <w:pStyle w:val="ListBullet"/>
        <w:spacing w:after="60"/>
      </w:pPr>
      <w:r>
        <w:rPr>
          <w:rFonts w:ascii="Arial" w:hAnsi="Arial" w:eastAsia="Arial"/>
          <w:color w:val="222222"/>
          <w:sz w:val="22"/>
        </w:rPr>
        <w:t>Phương pháp quyền uy trong nội bộ thể hiện ở quyền tổ chức, phân công, kiểm tra và xử lý kỷ luật của người sử dụng lao động, nhưng phải trong giới hạn pháp luật.</w:t>
      </w:r>
    </w:p>
    <w:p>
      <w:pPr>
        <w:pStyle w:val="ListBullet"/>
        <w:spacing w:after="60"/>
      </w:pPr>
      <w:r>
        <w:rPr>
          <w:rFonts w:ascii="Arial" w:hAnsi="Arial" w:eastAsia="Arial"/>
          <w:color w:val="222222"/>
          <w:sz w:val="22"/>
        </w:rPr>
        <w:t>Sự tham gia của tổ chức đại diện người lao động giúp cân bằng vị thế, đặc biệt trong thương lượng tập thể, kỷ luật và tranh chấp.</w:t>
      </w:r>
    </w:p>
    <w:p>
      <w:pPr>
        <w:pStyle w:val="ListBullet"/>
        <w:spacing w:after="60"/>
      </w:pPr>
      <w:r>
        <w:rPr>
          <w:rFonts w:ascii="Arial" w:hAnsi="Arial" w:eastAsia="Arial"/>
          <w:color w:val="222222"/>
          <w:sz w:val="22"/>
        </w:rPr>
        <w:t>Quan hệ công vụ của cán bộ, công chức chủ yếu do pháp luật cán bộ, công chức và hành chính điều chỉnh, không nên xếp toàn bộ vào luật lao động.</w:t>
      </w:r>
    </w:p>
    <w:p>
      <w:pPr>
        <w:pStyle w:val="Heading3"/>
      </w:pPr>
      <w:r>
        <w:t>Ví dụ minh họa</w:t>
      </w:r>
    </w:p>
    <w:p>
      <w:pPr>
        <w:jc w:val="both"/>
      </w:pPr>
      <w:r>
        <w:rPr>
          <w:rFonts w:ascii="Arial" w:hAnsi="Arial" w:eastAsia="Arial"/>
          <w:color w:val="222222"/>
          <w:sz w:val="22"/>
        </w:rPr>
        <w:t>Doanh nghiệp có quyền bố trí ca làm theo hợp đồng và nội quy, nhưng không thể buộc người lao động làm quá giới hạn thời giờ hoặc cắt lương làm hình thức kỷ luật.</w:t>
      </w:r>
    </w:p>
    <w:p>
      <w:pPr>
        <w:pStyle w:val="Heading3"/>
      </w:pPr>
      <w:r>
        <w:t>Những lỗi dễ mất điểm</w:t>
      </w:r>
    </w:p>
    <w:p>
      <w:pPr>
        <w:pStyle w:val="ListBullet"/>
        <w:spacing w:after="60"/>
      </w:pPr>
      <w:r>
        <w:rPr>
          <w:rFonts w:ascii="Arial" w:hAnsi="Arial" w:eastAsia="Arial"/>
          <w:color w:val="222222"/>
          <w:sz w:val="22"/>
        </w:rPr>
        <w:t>Cho mọi người làm việc trong cơ quan nhà nước đều thuộc BLLĐ.</w:t>
      </w:r>
    </w:p>
    <w:p>
      <w:pPr>
        <w:pStyle w:val="ListBullet"/>
        <w:spacing w:after="60"/>
      </w:pPr>
      <w:r>
        <w:rPr>
          <w:rFonts w:ascii="Arial" w:hAnsi="Arial" w:eastAsia="Arial"/>
          <w:color w:val="222222"/>
          <w:sz w:val="22"/>
        </w:rPr>
        <w:t>Chỉ nêu phương pháp thỏa thuận.</w:t>
      </w:r>
    </w:p>
    <w:p>
      <w:pPr>
        <w:pStyle w:val="ListBullet"/>
        <w:spacing w:after="60"/>
      </w:pPr>
      <w:r>
        <w:rPr>
          <w:rFonts w:ascii="Arial" w:hAnsi="Arial" w:eastAsia="Arial"/>
          <w:color w:val="222222"/>
          <w:sz w:val="22"/>
        </w:rPr>
        <w:t>Bỏ vai trò tổ chức đại diện người lao động.</w:t>
      </w:r>
    </w:p>
    <w:p>
      <w:pPr>
        <w:pStyle w:val="Heading3"/>
      </w:pPr>
      <w:r>
        <w:t>Dàn ý trả lời khi thi</w:t>
      </w:r>
    </w:p>
    <w:p>
      <w:pPr>
        <w:pStyle w:val="ListNumber"/>
        <w:spacing w:after="60"/>
      </w:pPr>
      <w:r>
        <w:rPr>
          <w:rFonts w:ascii="Arial" w:hAnsi="Arial" w:eastAsia="Arial"/>
          <w:color w:val="222222"/>
          <w:sz w:val="22"/>
        </w:rPr>
        <w:t>Khái niệm.</w:t>
      </w:r>
    </w:p>
    <w:p>
      <w:pPr>
        <w:pStyle w:val="ListNumber"/>
        <w:spacing w:after="60"/>
      </w:pPr>
      <w:r>
        <w:rPr>
          <w:rFonts w:ascii="Arial" w:hAnsi="Arial" w:eastAsia="Arial"/>
          <w:color w:val="222222"/>
          <w:sz w:val="22"/>
        </w:rPr>
        <w:t>Quan hệ lao động.</w:t>
      </w:r>
    </w:p>
    <w:p>
      <w:pPr>
        <w:pStyle w:val="ListNumber"/>
        <w:spacing w:after="60"/>
      </w:pPr>
      <w:r>
        <w:rPr>
          <w:rFonts w:ascii="Arial" w:hAnsi="Arial" w:eastAsia="Arial"/>
          <w:color w:val="222222"/>
          <w:sz w:val="22"/>
        </w:rPr>
        <w:t>Quan hệ liên quan.</w:t>
      </w:r>
    </w:p>
    <w:p>
      <w:pPr>
        <w:pStyle w:val="ListNumber"/>
        <w:spacing w:after="60"/>
      </w:pPr>
      <w:r>
        <w:rPr>
          <w:rFonts w:ascii="Arial" w:hAnsi="Arial" w:eastAsia="Arial"/>
          <w:color w:val="222222"/>
          <w:sz w:val="22"/>
        </w:rPr>
        <w:t>Phương pháp thỏa thuận.</w:t>
      </w:r>
    </w:p>
    <w:p>
      <w:pPr>
        <w:pStyle w:val="ListNumber"/>
        <w:spacing w:after="60"/>
      </w:pPr>
      <w:r>
        <w:rPr>
          <w:rFonts w:ascii="Arial" w:hAnsi="Arial" w:eastAsia="Arial"/>
          <w:color w:val="222222"/>
          <w:sz w:val="22"/>
        </w:rPr>
        <w:t>Quyền quản lý.</w:t>
      </w:r>
    </w:p>
    <w:p>
      <w:pPr>
        <w:pStyle w:val="ListNumber"/>
        <w:spacing w:after="60"/>
      </w:pPr>
      <w:r>
        <w:rPr>
          <w:rFonts w:ascii="Arial" w:hAnsi="Arial" w:eastAsia="Arial"/>
          <w:color w:val="222222"/>
          <w:sz w:val="22"/>
        </w:rPr>
        <w:t>Tổ chức đại diện.</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việc làm có trả công; tiền lương; quản lý–điều hành–giám sát; thỏa thuận; chuẩn tối thiểu; đại diện người lao động</w:t>
            </w:r>
          </w:p>
        </w:tc>
      </w:tr>
    </w:tbl>
    <w:p>
      <w:pPr>
        <w:spacing w:after="0"/>
      </w:pPr>
    </w:p>
    <w:p>
      <w:pPr>
        <w:pStyle w:val="Heading2"/>
      </w:pPr>
      <w:r>
        <w:t>Câu 13. Hợp đồng lao động: nhận diện, hình thức và chấm dứt</w:t>
      </w:r>
    </w:p>
    <w:p>
      <w:pPr>
        <w:pStyle w:val="Heading3"/>
      </w:pPr>
      <w:r>
        <w:t>Khái niệm và nhận diện</w:t>
      </w:r>
    </w:p>
    <w:p>
      <w:pPr>
        <w:jc w:val="both"/>
      </w:pPr>
      <w:r>
        <w:rPr>
          <w:rFonts w:ascii="Arial" w:hAnsi="Arial" w:eastAsia="Arial"/>
          <w:color w:val="222222"/>
          <w:sz w:val="22"/>
        </w:rPr>
        <w:t>Hợp đồng lao động là thỏa thuận về việc làm có trả công, tiền lương, điều kiện lao động, quyền và nghĩa vụ của mỗi bên. Dù mang tên khác, nếu có việc làm có trả công và sự quản lý, điều hành, giám sát thì vẫn được coi là hợp đồng lao động.</w:t>
      </w:r>
    </w:p>
    <w:p>
      <w:pPr>
        <w:pStyle w:val="Heading3"/>
      </w:pPr>
      <w:r>
        <w:t>Hình thức và loại hợp đồng</w:t>
      </w:r>
    </w:p>
    <w:p>
      <w:pPr>
        <w:pStyle w:val="ListBullet"/>
        <w:spacing w:after="60"/>
      </w:pPr>
      <w:r>
        <w:rPr>
          <w:rFonts w:ascii="Arial" w:hAnsi="Arial" w:eastAsia="Arial"/>
          <w:color w:val="222222"/>
          <w:sz w:val="22"/>
        </w:rPr>
        <w:t>Thông thường phải bằng văn bản hoặc thông điệp dữ liệu; một số hợp đồng dưới một tháng có thể bằng lời nói, trừ trường hợp luật bắt buộc bằng văn bản.</w:t>
      </w:r>
    </w:p>
    <w:p>
      <w:pPr>
        <w:pStyle w:val="ListBullet"/>
        <w:spacing w:after="60"/>
      </w:pPr>
      <w:r>
        <w:rPr>
          <w:rFonts w:ascii="Arial" w:hAnsi="Arial" w:eastAsia="Arial"/>
          <w:color w:val="222222"/>
          <w:sz w:val="22"/>
        </w:rPr>
        <w:t>Hai loại cơ bản: không xác định thời hạn và xác định thời hạn không quá 36 tháng.</w:t>
      </w:r>
    </w:p>
    <w:p>
      <w:pPr>
        <w:pStyle w:val="Heading3"/>
      </w:pPr>
      <w:r>
        <w:t>Chấm dứt</w:t>
      </w:r>
    </w:p>
    <w:p>
      <w:pPr>
        <w:pStyle w:val="ListBullet"/>
        <w:spacing w:after="60"/>
      </w:pPr>
      <w:r>
        <w:rPr>
          <w:rFonts w:ascii="Arial" w:hAnsi="Arial" w:eastAsia="Arial"/>
          <w:color w:val="222222"/>
          <w:sz w:val="22"/>
        </w:rPr>
        <w:t>Theo thỏa thuận, hết hạn, hoàn thành công việc, đơn phương hợp pháp và các căn cứ luật định.</w:t>
      </w:r>
    </w:p>
    <w:p>
      <w:pPr>
        <w:pStyle w:val="ListBullet"/>
        <w:spacing w:after="60"/>
      </w:pPr>
      <w:r>
        <w:rPr>
          <w:rFonts w:ascii="Arial" w:hAnsi="Arial" w:eastAsia="Arial"/>
          <w:color w:val="222222"/>
          <w:sz w:val="22"/>
        </w:rPr>
        <w:t>Khi đơn phương phải có căn cứ hoặc tuân thủ thời hạn báo trước tùy chủ thể và trường hợp.</w:t>
      </w:r>
    </w:p>
    <w:p>
      <w:pPr>
        <w:pStyle w:val="ListBullet"/>
        <w:spacing w:after="60"/>
      </w:pPr>
      <w:r>
        <w:rPr>
          <w:rFonts w:ascii="Arial" w:hAnsi="Arial" w:eastAsia="Arial"/>
          <w:color w:val="222222"/>
          <w:sz w:val="22"/>
        </w:rPr>
        <w:t>Đơn phương trái pháp luật có thể dẫn đến nghĩa vụ nhận lại làm việc, trả lương, đóng bảo hiểm, bồi thường hoặc hoàn trả chi phí.</w:t>
      </w:r>
    </w:p>
    <w:p>
      <w:pPr>
        <w:pStyle w:val="Heading3"/>
      </w:pPr>
      <w:r>
        <w:t>Cơ sở pháp lý</w:t>
      </w:r>
    </w:p>
    <w:p>
      <w:r>
        <w:rPr>
          <w:rFonts w:ascii="Arial" w:hAnsi="Arial" w:eastAsia="Arial"/>
          <w:color w:val="222222"/>
          <w:sz w:val="22"/>
        </w:rPr>
        <w:t>Chương III Bộ luật Lao động 2019 về hợp đồng lao động.</w:t>
      </w:r>
    </w:p>
    <w:p>
      <w:pPr>
        <w:pStyle w:val="Heading3"/>
      </w:pPr>
      <w:r>
        <w:t>Phân tích chi tiết</w:t>
      </w:r>
    </w:p>
    <w:p>
      <w:pPr>
        <w:pStyle w:val="ListBullet"/>
        <w:spacing w:after="60"/>
      </w:pPr>
      <w:r>
        <w:rPr>
          <w:rFonts w:ascii="Arial" w:hAnsi="Arial" w:eastAsia="Arial"/>
          <w:color w:val="222222"/>
          <w:sz w:val="22"/>
        </w:rPr>
        <w:t>Tên gọi không quyết định bản chất. Thỏa thuận mang tên cộng tác viên, khoán việc hoặc dịch vụ vẫn là hợp đồng lao động nếu có việc làm có trả công và chịu quản lý, điều hành, giám sát.</w:t>
      </w:r>
    </w:p>
    <w:p>
      <w:pPr>
        <w:pStyle w:val="ListBullet"/>
        <w:spacing w:after="60"/>
      </w:pPr>
      <w:r>
        <w:rPr>
          <w:rFonts w:ascii="Arial" w:hAnsi="Arial" w:eastAsia="Arial"/>
          <w:color w:val="222222"/>
          <w:sz w:val="22"/>
        </w:rPr>
        <w:t>Thông thường hợp đồng phải bằng văn bản hoặc thông điệp dữ liệu. Hợp đồng dưới một tháng có thể bằng lời nói, trừ các trường hợp luật bắt buộc văn bản.</w:t>
      </w:r>
    </w:p>
    <w:p>
      <w:pPr>
        <w:pStyle w:val="ListBullet"/>
        <w:spacing w:after="60"/>
      </w:pPr>
      <w:r>
        <w:rPr>
          <w:rFonts w:ascii="Arial" w:hAnsi="Arial" w:eastAsia="Arial"/>
          <w:color w:val="222222"/>
          <w:sz w:val="22"/>
        </w:rPr>
        <w:t>Có hai loại: không xác định thời hạn và xác định thời hạn không quá 36 tháng. Luật giới hạn việc ký nối tiếp hợp đồng xác định thời hạn.</w:t>
      </w:r>
    </w:p>
    <w:p>
      <w:pPr>
        <w:pStyle w:val="ListBullet"/>
        <w:spacing w:after="60"/>
      </w:pPr>
      <w:r>
        <w:rPr>
          <w:rFonts w:ascii="Arial" w:hAnsi="Arial" w:eastAsia="Arial"/>
          <w:color w:val="222222"/>
          <w:sz w:val="22"/>
        </w:rPr>
        <w:t>Nội dung chủ yếu gồm công việc, địa điểm, thời hạn, lương, hình thức trả, nâng lương, thời giờ, nghỉ ngơi, bảo hộ, bảo hiểm, đào tạo và nội dung khác.</w:t>
      </w:r>
    </w:p>
    <w:p>
      <w:pPr>
        <w:pStyle w:val="ListBullet"/>
        <w:spacing w:after="60"/>
      </w:pPr>
      <w:r>
        <w:rPr>
          <w:rFonts w:ascii="Arial" w:hAnsi="Arial" w:eastAsia="Arial"/>
          <w:color w:val="222222"/>
          <w:sz w:val="22"/>
        </w:rPr>
        <w:t>Chấm dứt có thể do hết hạn, thỏa thuận, hoàn thành công việc, đơn phương hợp pháp hoặc căn cứ khác. Người lao động thường có quyền đơn phương khi báo trước; một số trường hợp không phải báo trước.</w:t>
      </w:r>
    </w:p>
    <w:p>
      <w:pPr>
        <w:pStyle w:val="ListBullet"/>
        <w:spacing w:after="60"/>
      </w:pPr>
      <w:r>
        <w:rPr>
          <w:rFonts w:ascii="Arial" w:hAnsi="Arial" w:eastAsia="Arial"/>
          <w:color w:val="222222"/>
          <w:sz w:val="22"/>
        </w:rPr>
        <w:t>Đơn phương trái pháp luật dẫn đến nghĩa vụ nhận lại, trả lương, bảo hiểm, bồi thường hoặc nghĩa vụ của người lao động tùy bên vi phạm.</w:t>
      </w:r>
    </w:p>
    <w:p>
      <w:pPr>
        <w:pStyle w:val="Heading3"/>
      </w:pPr>
      <w:r>
        <w:t>Ví dụ minh họa</w:t>
      </w:r>
    </w:p>
    <w:p>
      <w:pPr>
        <w:jc w:val="both"/>
      </w:pPr>
      <w:r>
        <w:rPr>
          <w:rFonts w:ascii="Arial" w:hAnsi="Arial" w:eastAsia="Arial"/>
          <w:color w:val="222222"/>
          <w:sz w:val="22"/>
        </w:rPr>
        <w:t>Hợp đồng ghi “dịch vụ” nhưng người làm chấm công hằng ngày, nhận lương tháng và chịu quản lý trực tiếp có thể được xác định là hợp đồng lao động.</w:t>
      </w:r>
    </w:p>
    <w:p>
      <w:pPr>
        <w:pStyle w:val="Heading3"/>
      </w:pPr>
      <w:r>
        <w:t>Những lỗi dễ mất điểm</w:t>
      </w:r>
    </w:p>
    <w:p>
      <w:pPr>
        <w:pStyle w:val="ListBullet"/>
        <w:spacing w:after="60"/>
      </w:pPr>
      <w:r>
        <w:rPr>
          <w:rFonts w:ascii="Arial" w:hAnsi="Arial" w:eastAsia="Arial"/>
          <w:color w:val="222222"/>
          <w:sz w:val="22"/>
        </w:rPr>
        <w:t>Cho người lao động nghỉ phải được công ty đồng ý.</w:t>
      </w:r>
    </w:p>
    <w:p>
      <w:pPr>
        <w:pStyle w:val="ListBullet"/>
        <w:spacing w:after="60"/>
      </w:pPr>
      <w:r>
        <w:rPr>
          <w:rFonts w:ascii="Arial" w:hAnsi="Arial" w:eastAsia="Arial"/>
          <w:color w:val="222222"/>
          <w:sz w:val="22"/>
        </w:rPr>
        <w:t>Không phân biệt hai loại hợp đồng.</w:t>
      </w:r>
    </w:p>
    <w:p>
      <w:pPr>
        <w:pStyle w:val="ListBullet"/>
        <w:spacing w:after="60"/>
      </w:pPr>
      <w:r>
        <w:rPr>
          <w:rFonts w:ascii="Arial" w:hAnsi="Arial" w:eastAsia="Arial"/>
          <w:color w:val="222222"/>
          <w:sz w:val="22"/>
        </w:rPr>
        <w:t>Không kiểm tra thời hạn báo trước.</w:t>
      </w:r>
    </w:p>
    <w:p>
      <w:pPr>
        <w:pStyle w:val="Heading3"/>
      </w:pPr>
      <w:r>
        <w:t>Dàn ý trả lời khi thi</w:t>
      </w:r>
    </w:p>
    <w:p>
      <w:pPr>
        <w:pStyle w:val="ListNumber"/>
        <w:spacing w:after="60"/>
      </w:pPr>
      <w:r>
        <w:rPr>
          <w:rFonts w:ascii="Arial" w:hAnsi="Arial" w:eastAsia="Arial"/>
          <w:color w:val="222222"/>
          <w:sz w:val="22"/>
        </w:rPr>
        <w:t>Khái niệm và nhận diện.</w:t>
      </w:r>
    </w:p>
    <w:p>
      <w:pPr>
        <w:pStyle w:val="ListNumber"/>
        <w:spacing w:after="60"/>
      </w:pPr>
      <w:r>
        <w:rPr>
          <w:rFonts w:ascii="Arial" w:hAnsi="Arial" w:eastAsia="Arial"/>
          <w:color w:val="222222"/>
          <w:sz w:val="22"/>
        </w:rPr>
        <w:t>Hình thức.</w:t>
      </w:r>
    </w:p>
    <w:p>
      <w:pPr>
        <w:pStyle w:val="ListNumber"/>
        <w:spacing w:after="60"/>
      </w:pPr>
      <w:r>
        <w:rPr>
          <w:rFonts w:ascii="Arial" w:hAnsi="Arial" w:eastAsia="Arial"/>
          <w:color w:val="222222"/>
          <w:sz w:val="22"/>
        </w:rPr>
        <w:t>Loại hợp đồng.</w:t>
      </w:r>
    </w:p>
    <w:p>
      <w:pPr>
        <w:pStyle w:val="ListNumber"/>
        <w:spacing w:after="60"/>
      </w:pPr>
      <w:r>
        <w:rPr>
          <w:rFonts w:ascii="Arial" w:hAnsi="Arial" w:eastAsia="Arial"/>
          <w:color w:val="222222"/>
          <w:sz w:val="22"/>
        </w:rPr>
        <w:t>Nội dung.</w:t>
      </w:r>
    </w:p>
    <w:p>
      <w:pPr>
        <w:pStyle w:val="ListNumber"/>
        <w:spacing w:after="60"/>
      </w:pPr>
      <w:r>
        <w:rPr>
          <w:rFonts w:ascii="Arial" w:hAnsi="Arial" w:eastAsia="Arial"/>
          <w:color w:val="222222"/>
          <w:sz w:val="22"/>
        </w:rPr>
        <w:t>Các căn cứ chấm dứt.</w:t>
      </w:r>
    </w:p>
    <w:p>
      <w:pPr>
        <w:pStyle w:val="ListNumber"/>
        <w:spacing w:after="60"/>
      </w:pPr>
      <w:r>
        <w:rPr>
          <w:rFonts w:ascii="Arial" w:hAnsi="Arial" w:eastAsia="Arial"/>
          <w:color w:val="222222"/>
          <w:sz w:val="22"/>
        </w:rPr>
        <w:t>Đơn phương và hậu quả.</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việc làm có trả công; quản lý; hợp đồng bằng văn bản; xác định thời hạn; không xác định thời hạn; đơn phương; báo trước</w:t>
            </w:r>
          </w:p>
        </w:tc>
      </w:tr>
    </w:tbl>
    <w:p>
      <w:pPr>
        <w:spacing w:after="0"/>
      </w:pPr>
    </w:p>
    <w:p>
      <w:pPr>
        <w:pStyle w:val="Heading2"/>
      </w:pPr>
      <w:r>
        <w:t>Câu 14. Tranh chấp lao động và cơ chế giải quyết theo Bộ luật Lao động 2019</w:t>
      </w:r>
    </w:p>
    <w:p>
      <w:pPr>
        <w:pStyle w:val="Heading3"/>
      </w:pPr>
      <w:r>
        <w:t>Khái niệm và phân loại</w:t>
      </w:r>
    </w:p>
    <w:p>
      <w:pPr>
        <w:pStyle w:val="ListBullet"/>
        <w:spacing w:after="60"/>
      </w:pPr>
      <w:r>
        <w:rPr>
          <w:rFonts w:ascii="Arial" w:hAnsi="Arial" w:eastAsia="Arial"/>
          <w:color w:val="222222"/>
          <w:sz w:val="22"/>
        </w:rPr>
        <w:t>Tranh chấp lao động cá nhân giữa người lao động với người sử dụng lao động hoặc chủ thể liên quan.</w:t>
      </w:r>
    </w:p>
    <w:p>
      <w:pPr>
        <w:pStyle w:val="ListBullet"/>
        <w:spacing w:after="60"/>
      </w:pPr>
      <w:r>
        <w:rPr>
          <w:rFonts w:ascii="Arial" w:hAnsi="Arial" w:eastAsia="Arial"/>
          <w:color w:val="222222"/>
          <w:sz w:val="22"/>
        </w:rPr>
        <w:t>Tranh chấp lao động tập thể về quyền.</w:t>
      </w:r>
    </w:p>
    <w:p>
      <w:pPr>
        <w:pStyle w:val="ListBullet"/>
        <w:spacing w:after="60"/>
      </w:pPr>
      <w:r>
        <w:rPr>
          <w:rFonts w:ascii="Arial" w:hAnsi="Arial" w:eastAsia="Arial"/>
          <w:color w:val="222222"/>
          <w:sz w:val="22"/>
        </w:rPr>
        <w:t>Tranh chấp lao động tập thể về lợi ích.</w:t>
      </w:r>
    </w:p>
    <w:p>
      <w:pPr>
        <w:pStyle w:val="Heading3"/>
      </w:pPr>
      <w:r>
        <w:t>Chủ thể có thẩm quyền</w:t>
      </w:r>
    </w:p>
    <w:p>
      <w:pPr>
        <w:pStyle w:val="ListBullet"/>
        <w:spacing w:after="60"/>
      </w:pPr>
      <w:r>
        <w:rPr>
          <w:rFonts w:ascii="Arial" w:hAnsi="Arial" w:eastAsia="Arial"/>
          <w:color w:val="222222"/>
          <w:sz w:val="22"/>
        </w:rPr>
        <w:t>Hòa giải viên lao động.</w:t>
      </w:r>
    </w:p>
    <w:p>
      <w:pPr>
        <w:pStyle w:val="ListBullet"/>
        <w:spacing w:after="60"/>
      </w:pPr>
      <w:r>
        <w:rPr>
          <w:rFonts w:ascii="Arial" w:hAnsi="Arial" w:eastAsia="Arial"/>
          <w:color w:val="222222"/>
          <w:sz w:val="22"/>
        </w:rPr>
        <w:t>Hội đồng trọng tài lao động trong trường hợp luật quy định và các bên lựa chọn.</w:t>
      </w:r>
    </w:p>
    <w:p>
      <w:pPr>
        <w:pStyle w:val="ListBullet"/>
        <w:spacing w:after="60"/>
      </w:pPr>
      <w:r>
        <w:rPr>
          <w:rFonts w:ascii="Arial" w:hAnsi="Arial" w:eastAsia="Arial"/>
          <w:color w:val="222222"/>
          <w:sz w:val="22"/>
        </w:rPr>
        <w:t>Tòa án nhân dân.</w:t>
      </w:r>
    </w:p>
    <w:p>
      <w:pPr>
        <w:pStyle w:val="Heading3"/>
      </w:pPr>
      <w:r>
        <w:t>Trình tự khái quát</w:t>
      </w:r>
    </w:p>
    <w:p>
      <w:pPr>
        <w:pStyle w:val="ListBullet"/>
        <w:spacing w:after="60"/>
      </w:pPr>
      <w:r>
        <w:rPr>
          <w:rFonts w:ascii="Arial" w:hAnsi="Arial" w:eastAsia="Arial"/>
          <w:color w:val="222222"/>
          <w:sz w:val="22"/>
        </w:rPr>
        <w:t>Tranh chấp cá nhân thường phải qua hòa giải viên trước khi yêu cầu trọng tài hoặc Tòa án, trừ các trường hợp được miễn hòa giải như xử lý kỷ luật sa thải, đơn phương chấm dứt, bồi thường khi chấm dứt, bảo hiểm và một số tranh chấp khác.</w:t>
      </w:r>
    </w:p>
    <w:p>
      <w:pPr>
        <w:pStyle w:val="ListBullet"/>
        <w:spacing w:after="60"/>
      </w:pPr>
      <w:r>
        <w:rPr>
          <w:rFonts w:ascii="Arial" w:hAnsi="Arial" w:eastAsia="Arial"/>
          <w:color w:val="222222"/>
          <w:sz w:val="22"/>
        </w:rPr>
        <w:t>Tranh chấp tập thể về quyền: hòa giải → trọng tài hoặc Tòa án theo lựa chọn và điều kiện luật định.</w:t>
      </w:r>
    </w:p>
    <w:p>
      <w:pPr>
        <w:pStyle w:val="ListBullet"/>
        <w:spacing w:after="60"/>
      </w:pPr>
      <w:r>
        <w:rPr>
          <w:rFonts w:ascii="Arial" w:hAnsi="Arial" w:eastAsia="Arial"/>
          <w:color w:val="222222"/>
          <w:sz w:val="22"/>
        </w:rPr>
        <w:t>Tranh chấp tập thể về lợi ích: hòa giải → trọng tài; đình công chỉ có thể đặt ra theo đúng điều kiện và trình tự.</w:t>
      </w:r>
    </w:p>
    <w:p>
      <w:pPr>
        <w:pStyle w:val="ListBullet"/>
        <w:spacing w:after="60"/>
      </w:pPr>
      <w:r>
        <w:rPr>
          <w:rFonts w:ascii="Arial" w:hAnsi="Arial" w:eastAsia="Arial"/>
          <w:color w:val="222222"/>
          <w:sz w:val="22"/>
        </w:rPr>
        <w:t>Không còn dùng mô hình Hội đồng hòa giải cơ sở hoặc Chủ tịch UBND cấp huyện như tài liệu cũ.</w:t>
      </w:r>
    </w:p>
    <w:p>
      <w:pPr>
        <w:pStyle w:val="Heading3"/>
      </w:pPr>
      <w:r>
        <w:t>Cơ sở pháp lý</w:t>
      </w:r>
    </w:p>
    <w:p>
      <w:r>
        <w:rPr>
          <w:rFonts w:ascii="Arial" w:hAnsi="Arial" w:eastAsia="Arial"/>
          <w:color w:val="222222"/>
          <w:sz w:val="22"/>
        </w:rPr>
        <w:t>Chương XIV Bộ luật Lao động 2019 về giải quyết tranh chấp lao động.</w:t>
      </w:r>
    </w:p>
    <w:p>
      <w:pPr>
        <w:pStyle w:val="Heading3"/>
      </w:pPr>
      <w:r>
        <w:t>Phân tích chi tiết</w:t>
      </w:r>
    </w:p>
    <w:p>
      <w:pPr>
        <w:pStyle w:val="ListBullet"/>
        <w:spacing w:after="60"/>
      </w:pPr>
      <w:r>
        <w:rPr>
          <w:rFonts w:ascii="Arial" w:hAnsi="Arial" w:eastAsia="Arial"/>
          <w:color w:val="222222"/>
          <w:sz w:val="22"/>
        </w:rPr>
        <w:t>Tranh chấp cá nhân phát sinh giữa người lao động với người sử dụng lao động hoặc chủ thể liên quan về quyền, nghĩa vụ và lợi ích của cá nhân.</w:t>
      </w:r>
    </w:p>
    <w:p>
      <w:pPr>
        <w:pStyle w:val="ListBullet"/>
        <w:spacing w:after="60"/>
      </w:pPr>
      <w:r>
        <w:rPr>
          <w:rFonts w:ascii="Arial" w:hAnsi="Arial" w:eastAsia="Arial"/>
          <w:color w:val="222222"/>
          <w:sz w:val="22"/>
        </w:rPr>
        <w:t>Tranh chấp tập thể về quyền liên quan việc giải thích, thực hiện quy định đã có trong luật, thỏa ước, nội quy hoặc thỏa thuận hợp pháp. Tranh chấp lợi ích nhằm xác lập điều kiện mới.</w:t>
      </w:r>
    </w:p>
    <w:p>
      <w:pPr>
        <w:pStyle w:val="ListBullet"/>
        <w:spacing w:after="60"/>
      </w:pPr>
      <w:r>
        <w:rPr>
          <w:rFonts w:ascii="Arial" w:hAnsi="Arial" w:eastAsia="Arial"/>
          <w:color w:val="222222"/>
          <w:sz w:val="22"/>
        </w:rPr>
        <w:t>Chủ thể giải quyết gồm hòa giải viên lao động, Hội đồng trọng tài lao động và Tòa án. Không còn mô hình Hội đồng hòa giải cơ sở và Chủ tịch UBND huyện như tài liệu cũ.</w:t>
      </w:r>
    </w:p>
    <w:p>
      <w:pPr>
        <w:pStyle w:val="ListBullet"/>
        <w:spacing w:after="60"/>
      </w:pPr>
      <w:r>
        <w:rPr>
          <w:rFonts w:ascii="Arial" w:hAnsi="Arial" w:eastAsia="Arial"/>
          <w:color w:val="222222"/>
          <w:sz w:val="22"/>
        </w:rPr>
        <w:t>Tranh chấp cá nhân thường phải hòa giải trước, nhưng các tranh chấp như sa thải, đơn phương chấm dứt, bồi thường khi chấm dứt, bảo hiểm và một số nhóm khác được miễn.</w:t>
      </w:r>
    </w:p>
    <w:p>
      <w:pPr>
        <w:pStyle w:val="ListBullet"/>
        <w:spacing w:after="60"/>
      </w:pPr>
      <w:r>
        <w:rPr>
          <w:rFonts w:ascii="Arial" w:hAnsi="Arial" w:eastAsia="Arial"/>
          <w:color w:val="222222"/>
          <w:sz w:val="22"/>
        </w:rPr>
        <w:t>Tranh chấp tập thể về quyền có thể được giải quyết qua hòa giải, trọng tài hoặc Tòa án theo quy định. Tranh chấp lợi ích qua hòa giải, trọng tài và có thể dẫn tới đình công nếu đủ điều kiện.</w:t>
      </w:r>
    </w:p>
    <w:p>
      <w:pPr>
        <w:pStyle w:val="ListBullet"/>
        <w:spacing w:after="60"/>
      </w:pPr>
      <w:r>
        <w:rPr>
          <w:rFonts w:ascii="Arial" w:hAnsi="Arial" w:eastAsia="Arial"/>
          <w:color w:val="222222"/>
          <w:sz w:val="22"/>
        </w:rPr>
        <w:t>Đình công chỉ là biện pháp của tập thể người lao động đối với tranh chấp lợi ích, phải do tổ chức đại diện có quyền tổ chức và tuân thủ trình tự.</w:t>
      </w:r>
    </w:p>
    <w:p>
      <w:pPr>
        <w:pStyle w:val="Heading3"/>
      </w:pPr>
      <w:r>
        <w:t>Ví dụ minh họa</w:t>
      </w:r>
    </w:p>
    <w:p>
      <w:pPr>
        <w:jc w:val="both"/>
      </w:pPr>
      <w:r>
        <w:rPr>
          <w:rFonts w:ascii="Arial" w:hAnsi="Arial" w:eastAsia="Arial"/>
          <w:color w:val="222222"/>
          <w:sz w:val="22"/>
        </w:rPr>
        <w:t>Yêu cầu trả khoản phụ cấp đã ghi trong thỏa ước là tranh chấp về quyền; yêu cầu tạo một phụ cấp hoàn toàn mới là tranh chấp về lợi ích.</w:t>
      </w:r>
    </w:p>
    <w:p>
      <w:pPr>
        <w:pStyle w:val="Heading3"/>
      </w:pPr>
      <w:r>
        <w:t>Những lỗi dễ mất điểm</w:t>
      </w:r>
    </w:p>
    <w:p>
      <w:pPr>
        <w:pStyle w:val="ListBullet"/>
        <w:spacing w:after="60"/>
      </w:pPr>
      <w:r>
        <w:rPr>
          <w:rFonts w:ascii="Arial" w:hAnsi="Arial" w:eastAsia="Arial"/>
          <w:color w:val="222222"/>
          <w:sz w:val="22"/>
        </w:rPr>
        <w:t>Dẫn cơ chế cũ.</w:t>
      </w:r>
    </w:p>
    <w:p>
      <w:pPr>
        <w:pStyle w:val="ListBullet"/>
        <w:spacing w:after="60"/>
      </w:pPr>
      <w:r>
        <w:rPr>
          <w:rFonts w:ascii="Arial" w:hAnsi="Arial" w:eastAsia="Arial"/>
          <w:color w:val="222222"/>
          <w:sz w:val="22"/>
        </w:rPr>
        <w:t>Cho mọi tranh chấp đều bắt buộc hòa giải.</w:t>
      </w:r>
    </w:p>
    <w:p>
      <w:pPr>
        <w:pStyle w:val="ListBullet"/>
        <w:spacing w:after="60"/>
      </w:pPr>
      <w:r>
        <w:rPr>
          <w:rFonts w:ascii="Arial" w:hAnsi="Arial" w:eastAsia="Arial"/>
          <w:color w:val="222222"/>
          <w:sz w:val="22"/>
        </w:rPr>
        <w:t>Cho tranh chấp về quyền được đình công.</w:t>
      </w:r>
    </w:p>
    <w:p>
      <w:pPr>
        <w:pStyle w:val="Heading3"/>
      </w:pPr>
      <w:r>
        <w:t>Dàn ý trả lời khi thi</w:t>
      </w:r>
    </w:p>
    <w:p>
      <w:pPr>
        <w:pStyle w:val="ListNumber"/>
        <w:spacing w:after="60"/>
      </w:pPr>
      <w:r>
        <w:rPr>
          <w:rFonts w:ascii="Arial" w:hAnsi="Arial" w:eastAsia="Arial"/>
          <w:color w:val="222222"/>
          <w:sz w:val="22"/>
        </w:rPr>
        <w:t>Khái niệm.</w:t>
      </w:r>
    </w:p>
    <w:p>
      <w:pPr>
        <w:pStyle w:val="ListNumber"/>
        <w:spacing w:after="60"/>
      </w:pPr>
      <w:r>
        <w:rPr>
          <w:rFonts w:ascii="Arial" w:hAnsi="Arial" w:eastAsia="Arial"/>
          <w:color w:val="222222"/>
          <w:sz w:val="22"/>
        </w:rPr>
        <w:t>Ba loại tranh chấp.</w:t>
      </w:r>
    </w:p>
    <w:p>
      <w:pPr>
        <w:pStyle w:val="ListNumber"/>
        <w:spacing w:after="60"/>
      </w:pPr>
      <w:r>
        <w:rPr>
          <w:rFonts w:ascii="Arial" w:hAnsi="Arial" w:eastAsia="Arial"/>
          <w:color w:val="222222"/>
          <w:sz w:val="22"/>
        </w:rPr>
        <w:t>Cơ quan giải quyết.</w:t>
      </w:r>
    </w:p>
    <w:p>
      <w:pPr>
        <w:pStyle w:val="ListNumber"/>
        <w:spacing w:after="60"/>
      </w:pPr>
      <w:r>
        <w:rPr>
          <w:rFonts w:ascii="Arial" w:hAnsi="Arial" w:eastAsia="Arial"/>
          <w:color w:val="222222"/>
          <w:sz w:val="22"/>
        </w:rPr>
        <w:t>Thủ tục tranh chấp cá nhân.</w:t>
      </w:r>
    </w:p>
    <w:p>
      <w:pPr>
        <w:pStyle w:val="ListNumber"/>
        <w:spacing w:after="60"/>
      </w:pPr>
      <w:r>
        <w:rPr>
          <w:rFonts w:ascii="Arial" w:hAnsi="Arial" w:eastAsia="Arial"/>
          <w:color w:val="222222"/>
          <w:sz w:val="22"/>
        </w:rPr>
        <w:t>Tập thể về quyền.</w:t>
      </w:r>
    </w:p>
    <w:p>
      <w:pPr>
        <w:pStyle w:val="ListNumber"/>
        <w:spacing w:after="60"/>
      </w:pPr>
      <w:r>
        <w:rPr>
          <w:rFonts w:ascii="Arial" w:hAnsi="Arial" w:eastAsia="Arial"/>
          <w:color w:val="222222"/>
          <w:sz w:val="22"/>
        </w:rPr>
        <w:t>Tập thể về lợi ích và đình công.</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cá nhân; tập thể về quyền; tập thể về lợi ích; hòa giải viên; trọng tài lao động; Tòa án; đình công</w:t>
            </w:r>
          </w:p>
        </w:tc>
      </w:tr>
    </w:tbl>
    <w:p>
      <w:pPr>
        <w:spacing w:after="0"/>
      </w:pPr>
    </w:p>
    <w:p>
      <w:pPr>
        <w:pStyle w:val="Heading2"/>
      </w:pPr>
      <w:r>
        <w:t>Câu 15. Luật Hành chính: khái niệm, đối tượng và phương pháp điều chỉnh</w:t>
      </w:r>
    </w:p>
    <w:p>
      <w:pPr>
        <w:pStyle w:val="Heading3"/>
      </w:pPr>
      <w:r>
        <w:t>Khái niệm</w:t>
      </w:r>
    </w:p>
    <w:p>
      <w:pPr>
        <w:jc w:val="both"/>
      </w:pPr>
      <w:r>
        <w:rPr>
          <w:rFonts w:ascii="Arial" w:hAnsi="Arial" w:eastAsia="Arial"/>
          <w:color w:val="222222"/>
          <w:sz w:val="22"/>
        </w:rPr>
        <w:t>Luật Hành chính là ngành luật điều chỉnh các quan hệ xã hội phát sinh trong hoạt động quản lý hành chính nhà nước và những quan hệ quản lý khác được pháp luật giao.</w:t>
      </w:r>
    </w:p>
    <w:p>
      <w:pPr>
        <w:pStyle w:val="Heading3"/>
      </w:pPr>
      <w:r>
        <w:t>Đối tượng</w:t>
      </w:r>
    </w:p>
    <w:p>
      <w:pPr>
        <w:pStyle w:val="ListBullet"/>
        <w:spacing w:after="60"/>
      </w:pPr>
      <w:r>
        <w:rPr>
          <w:rFonts w:ascii="Arial" w:hAnsi="Arial" w:eastAsia="Arial"/>
          <w:color w:val="222222"/>
          <w:sz w:val="22"/>
        </w:rPr>
        <w:t>Quan hệ giữa cơ quan hành chính với cá nhân, tổ chức.</w:t>
      </w:r>
    </w:p>
    <w:p>
      <w:pPr>
        <w:pStyle w:val="ListBullet"/>
        <w:spacing w:after="60"/>
      </w:pPr>
      <w:r>
        <w:rPr>
          <w:rFonts w:ascii="Arial" w:hAnsi="Arial" w:eastAsia="Arial"/>
          <w:color w:val="222222"/>
          <w:sz w:val="22"/>
        </w:rPr>
        <w:t>Quan hệ tổ chức và hoạt động nội bộ của cơ quan nhà nước.</w:t>
      </w:r>
    </w:p>
    <w:p>
      <w:pPr>
        <w:pStyle w:val="ListBullet"/>
        <w:spacing w:after="60"/>
      </w:pPr>
      <w:r>
        <w:rPr>
          <w:rFonts w:ascii="Arial" w:hAnsi="Arial" w:eastAsia="Arial"/>
          <w:color w:val="222222"/>
          <w:sz w:val="22"/>
        </w:rPr>
        <w:t>Quan hệ khi cơ quan, tổ chức hoặc cá nhân được trao quyền quản lý hành chính.</w:t>
      </w:r>
    </w:p>
    <w:p>
      <w:pPr>
        <w:pStyle w:val="Heading3"/>
      </w:pPr>
      <w:r>
        <w:t>Phương pháp</w:t>
      </w:r>
    </w:p>
    <w:p>
      <w:pPr>
        <w:jc w:val="both"/>
      </w:pPr>
      <w:r>
        <w:rPr>
          <w:rFonts w:ascii="Arial" w:hAnsi="Arial" w:eastAsia="Arial"/>
          <w:color w:val="222222"/>
          <w:sz w:val="22"/>
        </w:rPr>
        <w:t>Phương pháp quyền lực – phục tùng là chủ yếu: một bên nhân danh quyền lực nhà nước có quyền đưa ra quyết định đơn phương trong phạm vi thẩm quyền; bên kia có nghĩa vụ chấp hành và có quyền khiếu nại, khởi kiện khi quyết định hoặc hành vi trái pháp luật.</w:t>
      </w:r>
    </w:p>
    <w:p>
      <w:pPr>
        <w:pStyle w:val="Heading3"/>
      </w:pPr>
      <w:r>
        <w:t>Cơ sở pháp lý</w:t>
      </w:r>
    </w:p>
    <w:p>
      <w:r>
        <w:rPr>
          <w:rFonts w:ascii="Arial" w:hAnsi="Arial" w:eastAsia="Arial"/>
          <w:color w:val="222222"/>
          <w:sz w:val="22"/>
        </w:rPr>
        <w:t>Giáo trình Luật Hành chính; Luật Xử lý vi phạm hành chính; Luật Khiếu nại và Luật Tố tụng hành chính.</w:t>
      </w:r>
    </w:p>
    <w:p>
      <w:pPr>
        <w:pStyle w:val="Heading3"/>
      </w:pPr>
      <w:r>
        <w:t>Phân tích chi tiết</w:t>
      </w:r>
    </w:p>
    <w:p>
      <w:pPr>
        <w:pStyle w:val="ListBullet"/>
        <w:spacing w:after="60"/>
      </w:pPr>
      <w:r>
        <w:rPr>
          <w:rFonts w:ascii="Arial" w:hAnsi="Arial" w:eastAsia="Arial"/>
          <w:color w:val="222222"/>
          <w:sz w:val="22"/>
        </w:rPr>
        <w:t>Luật Hành chính điều chỉnh quan hệ phát sinh trong quản lý hành chính nhà nước và các hoạt động chấp hành – điều hành.</w:t>
      </w:r>
    </w:p>
    <w:p>
      <w:pPr>
        <w:pStyle w:val="ListBullet"/>
        <w:spacing w:after="60"/>
      </w:pPr>
      <w:r>
        <w:rPr>
          <w:rFonts w:ascii="Arial" w:hAnsi="Arial" w:eastAsia="Arial"/>
          <w:color w:val="222222"/>
          <w:sz w:val="22"/>
        </w:rPr>
        <w:t>Nhóm điển hình là quan hệ giữa cơ quan hành chính hoặc người có thẩm quyền với cá nhân, tổ chức; quan hệ tổ chức nội bộ; và quan hệ khi chủ thể khác được trao quyền quản lý.</w:t>
      </w:r>
    </w:p>
    <w:p>
      <w:pPr>
        <w:pStyle w:val="ListBullet"/>
        <w:spacing w:after="60"/>
      </w:pPr>
      <w:r>
        <w:rPr>
          <w:rFonts w:ascii="Arial" w:hAnsi="Arial" w:eastAsia="Arial"/>
          <w:color w:val="222222"/>
          <w:sz w:val="22"/>
        </w:rPr>
        <w:t>Không phải mọi quan hệ có cơ quan nhà nước đều là hành chính. Cơ quan ký hợp đồng mua bán bình đẳng là quan hệ dân sự.</w:t>
      </w:r>
    </w:p>
    <w:p>
      <w:pPr>
        <w:pStyle w:val="ListBullet"/>
        <w:spacing w:after="60"/>
      </w:pPr>
      <w:r>
        <w:rPr>
          <w:rFonts w:ascii="Arial" w:hAnsi="Arial" w:eastAsia="Arial"/>
          <w:color w:val="222222"/>
          <w:sz w:val="22"/>
        </w:rPr>
        <w:t>Phương pháp quyền lực – phục tùng cho phép một bên ra quyết định đơn phương trong phạm vi thẩm quyền. Bên kia phải chấp hành nhưng có quyền khiếu nại, khởi kiện và yêu cầu kiểm soát.</w:t>
      </w:r>
    </w:p>
    <w:p>
      <w:pPr>
        <w:pStyle w:val="ListBullet"/>
        <w:spacing w:after="60"/>
      </w:pPr>
      <w:r>
        <w:rPr>
          <w:rFonts w:ascii="Arial" w:hAnsi="Arial" w:eastAsia="Arial"/>
          <w:color w:val="222222"/>
          <w:sz w:val="22"/>
        </w:rPr>
        <w:t>Quyết định hành chính hợp pháp phải đúng thẩm quyền, căn cứ, nội dung, hình thức, trình tự, thủ tục và mục đích. Một hành vi vi phạm có thật không làm hợp pháp hóa quyết định sai thẩm quyền.</w:t>
      </w:r>
    </w:p>
    <w:p>
      <w:pPr>
        <w:pStyle w:val="ListBullet"/>
        <w:spacing w:after="60"/>
      </w:pPr>
      <w:r>
        <w:rPr>
          <w:rFonts w:ascii="Arial" w:hAnsi="Arial" w:eastAsia="Arial"/>
          <w:color w:val="222222"/>
          <w:sz w:val="22"/>
        </w:rPr>
        <w:t>Cưỡng chế hành chính chỉ được áp dụng bởi chủ thể có thẩm quyền, đúng trường hợp và thủ tục, bảo đảm quyền con người.</w:t>
      </w:r>
    </w:p>
    <w:p>
      <w:pPr>
        <w:pStyle w:val="Heading3"/>
      </w:pPr>
      <w:r>
        <w:t>Ví dụ minh họa</w:t>
      </w:r>
    </w:p>
    <w:p>
      <w:pPr>
        <w:jc w:val="both"/>
      </w:pPr>
      <w:r>
        <w:rPr>
          <w:rFonts w:ascii="Arial" w:hAnsi="Arial" w:eastAsia="Arial"/>
          <w:color w:val="222222"/>
          <w:sz w:val="22"/>
        </w:rPr>
        <w:t>Chủ tịch có thẩm quyền phạt ra quyết định xử phạt là quan hệ hành chính; UBND thuê dịch vụ sửa máy tính là quan hệ hợp đồng.</w:t>
      </w:r>
    </w:p>
    <w:p>
      <w:pPr>
        <w:pStyle w:val="Heading3"/>
      </w:pPr>
      <w:r>
        <w:t>Những lỗi dễ mất điểm</w:t>
      </w:r>
    </w:p>
    <w:p>
      <w:pPr>
        <w:pStyle w:val="ListBullet"/>
        <w:spacing w:after="60"/>
      </w:pPr>
      <w:r>
        <w:rPr>
          <w:rFonts w:ascii="Arial" w:hAnsi="Arial" w:eastAsia="Arial"/>
          <w:color w:val="222222"/>
          <w:sz w:val="22"/>
        </w:rPr>
        <w:t>Viết “chấp hành và diễu hành”.</w:t>
      </w:r>
    </w:p>
    <w:p>
      <w:pPr>
        <w:pStyle w:val="ListBullet"/>
        <w:spacing w:after="60"/>
      </w:pPr>
      <w:r>
        <w:rPr>
          <w:rFonts w:ascii="Arial" w:hAnsi="Arial" w:eastAsia="Arial"/>
          <w:color w:val="222222"/>
          <w:sz w:val="22"/>
        </w:rPr>
        <w:t>Cho bên quyền lực được tùy ý áp đặt.</w:t>
      </w:r>
    </w:p>
    <w:p>
      <w:pPr>
        <w:pStyle w:val="ListBullet"/>
        <w:spacing w:after="60"/>
      </w:pPr>
      <w:r>
        <w:rPr>
          <w:rFonts w:ascii="Arial" w:hAnsi="Arial" w:eastAsia="Arial"/>
          <w:color w:val="222222"/>
          <w:sz w:val="22"/>
        </w:rPr>
        <w:t>Không phân biệt quyết định QPPL và quyết định cá biệt.</w:t>
      </w:r>
    </w:p>
    <w:p>
      <w:pPr>
        <w:pStyle w:val="Heading3"/>
      </w:pPr>
      <w:r>
        <w:t>Dàn ý trả lời khi thi</w:t>
      </w:r>
    </w:p>
    <w:p>
      <w:pPr>
        <w:pStyle w:val="ListNumber"/>
        <w:spacing w:after="60"/>
      </w:pPr>
      <w:r>
        <w:rPr>
          <w:rFonts w:ascii="Arial" w:hAnsi="Arial" w:eastAsia="Arial"/>
          <w:color w:val="222222"/>
          <w:sz w:val="22"/>
        </w:rPr>
        <w:t>Khái niệm.</w:t>
      </w:r>
    </w:p>
    <w:p>
      <w:pPr>
        <w:pStyle w:val="ListNumber"/>
        <w:spacing w:after="60"/>
      </w:pPr>
      <w:r>
        <w:rPr>
          <w:rFonts w:ascii="Arial" w:hAnsi="Arial" w:eastAsia="Arial"/>
          <w:color w:val="222222"/>
          <w:sz w:val="22"/>
        </w:rPr>
        <w:t>Các nhóm đối tượng.</w:t>
      </w:r>
    </w:p>
    <w:p>
      <w:pPr>
        <w:pStyle w:val="ListNumber"/>
        <w:spacing w:after="60"/>
      </w:pPr>
      <w:r>
        <w:rPr>
          <w:rFonts w:ascii="Arial" w:hAnsi="Arial" w:eastAsia="Arial"/>
          <w:color w:val="222222"/>
          <w:sz w:val="22"/>
        </w:rPr>
        <w:t>Phương pháp quyền lực–phục tùng.</w:t>
      </w:r>
    </w:p>
    <w:p>
      <w:pPr>
        <w:pStyle w:val="ListNumber"/>
        <w:spacing w:after="60"/>
      </w:pPr>
      <w:r>
        <w:rPr>
          <w:rFonts w:ascii="Arial" w:hAnsi="Arial" w:eastAsia="Arial"/>
          <w:color w:val="222222"/>
          <w:sz w:val="22"/>
        </w:rPr>
        <w:t>Giới hạn thẩm quyền.</w:t>
      </w:r>
    </w:p>
    <w:p>
      <w:pPr>
        <w:pStyle w:val="ListNumber"/>
        <w:spacing w:after="60"/>
      </w:pPr>
      <w:r>
        <w:rPr>
          <w:rFonts w:ascii="Arial" w:hAnsi="Arial" w:eastAsia="Arial"/>
          <w:color w:val="222222"/>
          <w:sz w:val="22"/>
        </w:rPr>
        <w:t>Ví dụ và quyền kiểm soát.</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quản lý hành chính; quyền lực–phục tùng; quyết định đơn phương; thẩm quyền; khiếu nại; khởi kiện</w:t>
            </w:r>
          </w:p>
        </w:tc>
      </w:tr>
    </w:tbl>
    <w:p>
      <w:pPr>
        <w:spacing w:after="0"/>
      </w:pPr>
    </w:p>
    <w:p>
      <w:pPr>
        <w:pStyle w:val="Heading2"/>
      </w:pPr>
      <w:r>
        <w:t>Câu 16. Tội phạm: khái niệm, dấu hiệu và phân loại</w:t>
      </w:r>
    </w:p>
    <w:p>
      <w:pPr>
        <w:pStyle w:val="Heading3"/>
      </w:pPr>
      <w:r>
        <w:t>Khái niệm</w:t>
      </w:r>
    </w:p>
    <w:p>
      <w:pPr>
        <w:jc w:val="both"/>
      </w:pPr>
      <w:r>
        <w:rPr>
          <w:rFonts w:ascii="Arial" w:hAnsi="Arial" w:eastAsia="Arial"/>
          <w:color w:val="222222"/>
          <w:sz w:val="22"/>
        </w:rPr>
        <w:t>Tội phạm là hành vi nguy hiểm cho xã hội được quy định trong Bộ luật Hình sự, do người có năng lực trách nhiệm hình sự hoặc pháp nhân thương mại thực hiện một cách cố ý hoặc vô ý, xâm phạm các quan hệ được luật hình sự bảo vệ và phải bị xử lý hình sự.</w:t>
      </w:r>
    </w:p>
    <w:p>
      <w:pPr>
        <w:pStyle w:val="Heading3"/>
      </w:pPr>
      <w:r>
        <w:t>Dấu hiệu</w:t>
      </w:r>
    </w:p>
    <w:p>
      <w:pPr>
        <w:pStyle w:val="ListBullet"/>
        <w:spacing w:after="60"/>
      </w:pPr>
      <w:r>
        <w:rPr>
          <w:rFonts w:ascii="Arial" w:hAnsi="Arial" w:eastAsia="Arial"/>
          <w:color w:val="222222"/>
          <w:sz w:val="22"/>
        </w:rPr>
        <w:t>Tính nguy hiểm đáng kể cho xã hội.</w:t>
      </w:r>
    </w:p>
    <w:p>
      <w:pPr>
        <w:pStyle w:val="ListBullet"/>
        <w:spacing w:after="60"/>
      </w:pPr>
      <w:r>
        <w:rPr>
          <w:rFonts w:ascii="Arial" w:hAnsi="Arial" w:eastAsia="Arial"/>
          <w:color w:val="222222"/>
          <w:sz w:val="22"/>
        </w:rPr>
        <w:t>Tính có lỗi.</w:t>
      </w:r>
    </w:p>
    <w:p>
      <w:pPr>
        <w:pStyle w:val="ListBullet"/>
        <w:spacing w:after="60"/>
      </w:pPr>
      <w:r>
        <w:rPr>
          <w:rFonts w:ascii="Arial" w:hAnsi="Arial" w:eastAsia="Arial"/>
          <w:color w:val="222222"/>
          <w:sz w:val="22"/>
        </w:rPr>
        <w:t>Tính trái pháp luật hình sự.</w:t>
      </w:r>
    </w:p>
    <w:p>
      <w:pPr>
        <w:pStyle w:val="ListBullet"/>
        <w:spacing w:after="60"/>
      </w:pPr>
      <w:r>
        <w:rPr>
          <w:rFonts w:ascii="Arial" w:hAnsi="Arial" w:eastAsia="Arial"/>
          <w:color w:val="222222"/>
          <w:sz w:val="22"/>
        </w:rPr>
        <w:t>Tính phải chịu hình phạt hoặc biện pháp hình sự.</w:t>
      </w:r>
    </w:p>
    <w:p>
      <w:pPr>
        <w:pStyle w:val="ListBullet"/>
        <w:spacing w:after="60"/>
      </w:pPr>
      <w:r>
        <w:rPr>
          <w:rFonts w:ascii="Arial" w:hAnsi="Arial" w:eastAsia="Arial"/>
          <w:color w:val="222222"/>
          <w:sz w:val="22"/>
        </w:rPr>
        <w:t>Chủ thể có năng lực trách nhiệm hình sự; pháp nhân thương mại chỉ chịu trách nhiệm về các tội được liệt kê.</w:t>
      </w:r>
    </w:p>
    <w:p>
      <w:pPr>
        <w:pStyle w:val="Heading3"/>
      </w:pPr>
      <w:r>
        <w:t>Độ tuổi và phân loại</w:t>
      </w:r>
    </w:p>
    <w:p>
      <w:pPr>
        <w:pStyle w:val="ListBullet"/>
        <w:spacing w:after="60"/>
      </w:pPr>
      <w:r>
        <w:rPr>
          <w:rFonts w:ascii="Arial" w:hAnsi="Arial" w:eastAsia="Arial"/>
          <w:color w:val="222222"/>
          <w:sz w:val="22"/>
        </w:rPr>
        <w:t>Từ đủ 16 tuổi chịu trách nhiệm về mọi tội, trừ trường hợp luật có quy định khác.</w:t>
      </w:r>
    </w:p>
    <w:p>
      <w:pPr>
        <w:pStyle w:val="ListBullet"/>
        <w:spacing w:after="60"/>
      </w:pPr>
      <w:r>
        <w:rPr>
          <w:rFonts w:ascii="Arial" w:hAnsi="Arial" w:eastAsia="Arial"/>
          <w:color w:val="222222"/>
          <w:sz w:val="22"/>
        </w:rPr>
        <w:t>Từ đủ 14 đến dưới 16 tuổi chỉ chịu trách nhiệm về những tội được liệt kê cụ thể tại Điều 12 BLHS; không dùng công thức cũ “mọi tội rất nghiêm trọng do cố ý”.</w:t>
      </w:r>
    </w:p>
    <w:p>
      <w:pPr>
        <w:pStyle w:val="ListBullet"/>
        <w:spacing w:after="60"/>
      </w:pPr>
      <w:r>
        <w:rPr>
          <w:rFonts w:ascii="Arial" w:hAnsi="Arial" w:eastAsia="Arial"/>
          <w:color w:val="222222"/>
          <w:sz w:val="22"/>
        </w:rPr>
        <w:t>Bốn loại: ít nghiêm trọng, nghiêm trọng, rất nghiêm trọng và đặc biệt nghiêm trọng, căn cứ tính chất nguy hiểm và mức cao nhất của khung hình phạt.</w:t>
      </w:r>
    </w:p>
    <w:p>
      <w:pPr>
        <w:pStyle w:val="Heading3"/>
      </w:pPr>
      <w:r>
        <w:t>Cơ sở pháp lý</w:t>
      </w:r>
    </w:p>
    <w:p>
      <w:r>
        <w:rPr>
          <w:rFonts w:ascii="Arial" w:hAnsi="Arial" w:eastAsia="Arial"/>
          <w:color w:val="222222"/>
          <w:sz w:val="22"/>
        </w:rPr>
        <w:t>Điều 8, Điều 9, Điều 12 và các quy định liên quan của BLHS 2015 đã được sửa đổi.</w:t>
      </w:r>
    </w:p>
    <w:p>
      <w:pPr>
        <w:pStyle w:val="Heading3"/>
      </w:pPr>
      <w:r>
        <w:t>Phân tích chi tiết</w:t>
      </w:r>
    </w:p>
    <w:p>
      <w:pPr>
        <w:pStyle w:val="ListBullet"/>
        <w:spacing w:after="60"/>
      </w:pPr>
      <w:r>
        <w:rPr>
          <w:rFonts w:ascii="Arial" w:hAnsi="Arial" w:eastAsia="Arial"/>
          <w:color w:val="222222"/>
          <w:sz w:val="22"/>
        </w:rPr>
        <w:t>Tính nguy hiểm cho xã hội là dấu hiệu nội dung cơ bản. Hành vi phải gây hoặc đe dọa gây thiệt hại đáng kể cho quan hệ được BLHS bảo vệ.</w:t>
      </w:r>
    </w:p>
    <w:p>
      <w:pPr>
        <w:pStyle w:val="ListBullet"/>
        <w:spacing w:after="60"/>
      </w:pPr>
      <w:r>
        <w:rPr>
          <w:rFonts w:ascii="Arial" w:hAnsi="Arial" w:eastAsia="Arial"/>
          <w:color w:val="222222"/>
          <w:sz w:val="22"/>
        </w:rPr>
        <w:t>Tính có lỗi yêu cầu chủ thể có thái độ cố ý hoặc vô ý. Người gây hậu quả trong sự kiện bất ngờ, không thể thấy trước hoặc không buộc phải thấy trước, không có lỗi.</w:t>
      </w:r>
    </w:p>
    <w:p>
      <w:pPr>
        <w:pStyle w:val="ListBullet"/>
        <w:spacing w:after="60"/>
      </w:pPr>
      <w:r>
        <w:rPr>
          <w:rFonts w:ascii="Arial" w:hAnsi="Arial" w:eastAsia="Arial"/>
          <w:color w:val="222222"/>
          <w:sz w:val="22"/>
        </w:rPr>
        <w:t>Tính trái BLHS đòi hỏi hành vi được mô tả trong một tội danh. Không được suy diễn hoặc áp dụng tương tự để buộc tội.</w:t>
      </w:r>
    </w:p>
    <w:p>
      <w:pPr>
        <w:pStyle w:val="ListBullet"/>
        <w:spacing w:after="60"/>
      </w:pPr>
      <w:r>
        <w:rPr>
          <w:rFonts w:ascii="Arial" w:hAnsi="Arial" w:eastAsia="Arial"/>
          <w:color w:val="222222"/>
          <w:sz w:val="22"/>
        </w:rPr>
        <w:t>Tính chịu hình phạt nghĩa là tội phạm bị đe dọa áp dụng hình phạt, nhưng người phạm tội thực tế có thể được miễn trách nhiệm hoặc miễn hình phạt khi đủ điều kiện.</w:t>
      </w:r>
    </w:p>
    <w:p>
      <w:pPr>
        <w:pStyle w:val="ListBullet"/>
        <w:spacing w:after="60"/>
      </w:pPr>
      <w:r>
        <w:rPr>
          <w:rFonts w:ascii="Arial" w:hAnsi="Arial" w:eastAsia="Arial"/>
          <w:color w:val="222222"/>
          <w:sz w:val="22"/>
        </w:rPr>
        <w:t>Cấu thành gồm khách thể; mặt khách quan; chủ thể; mặt chủ quan. Phải phân biệt khách thể với đối tượng tác động và bị hại.</w:t>
      </w:r>
    </w:p>
    <w:p>
      <w:pPr>
        <w:pStyle w:val="ListBullet"/>
        <w:spacing w:after="60"/>
      </w:pPr>
      <w:r>
        <w:rPr>
          <w:rFonts w:ascii="Arial" w:hAnsi="Arial" w:eastAsia="Arial"/>
          <w:color w:val="222222"/>
          <w:sz w:val="22"/>
        </w:rPr>
        <w:t>Từ đủ 16 tuổi chịu trách nhiệm về mọi tội trừ quy định khác; từ 14 đến dưới 16 chỉ chịu trách nhiệm về tội cụ thể được liệt kê tại Điều 12.</w:t>
      </w:r>
    </w:p>
    <w:p>
      <w:pPr>
        <w:pStyle w:val="ListBullet"/>
        <w:spacing w:after="60"/>
      </w:pPr>
      <w:r>
        <w:rPr>
          <w:rFonts w:ascii="Arial" w:hAnsi="Arial" w:eastAsia="Arial"/>
          <w:color w:val="222222"/>
          <w:sz w:val="22"/>
        </w:rPr>
        <w:t>Bốn loại tội căn cứ tính chất, mức độ nguy hiểm và mức cao nhất của khung: đến 3 năm; trên 3 đến 7; trên 7 đến 15; trên 15, tù chung thân hoặc tử hình.</w:t>
      </w:r>
    </w:p>
    <w:p>
      <w:pPr>
        <w:pStyle w:val="Heading3"/>
      </w:pPr>
      <w:r>
        <w:t>Ví dụ minh họa</w:t>
      </w:r>
    </w:p>
    <w:p>
      <w:pPr>
        <w:jc w:val="both"/>
      </w:pPr>
      <w:r>
        <w:rPr>
          <w:rFonts w:ascii="Arial" w:hAnsi="Arial" w:eastAsia="Arial"/>
          <w:color w:val="222222"/>
          <w:sz w:val="22"/>
        </w:rPr>
        <w:t>Người 15 tuổi không đương nhiên chịu trách nhiệm chỉ vì hành vi được xếp loại rất nghiêm trọng; phải kiểm tra tội danh có trong danh mục Điều 12.</w:t>
      </w:r>
    </w:p>
    <w:p>
      <w:pPr>
        <w:pStyle w:val="Heading3"/>
      </w:pPr>
      <w:r>
        <w:t>Những lỗi dễ mất điểm</w:t>
      </w:r>
    </w:p>
    <w:p>
      <w:pPr>
        <w:pStyle w:val="ListBullet"/>
        <w:spacing w:after="60"/>
      </w:pPr>
      <w:r>
        <w:rPr>
          <w:rFonts w:ascii="Arial" w:hAnsi="Arial" w:eastAsia="Arial"/>
          <w:color w:val="222222"/>
          <w:sz w:val="22"/>
        </w:rPr>
        <w:t>Dùng định nghĩa BLHS 1999.</w:t>
      </w:r>
    </w:p>
    <w:p>
      <w:pPr>
        <w:pStyle w:val="ListBullet"/>
        <w:spacing w:after="60"/>
      </w:pPr>
      <w:r>
        <w:rPr>
          <w:rFonts w:ascii="Arial" w:hAnsi="Arial" w:eastAsia="Arial"/>
          <w:color w:val="222222"/>
          <w:sz w:val="22"/>
        </w:rPr>
        <w:t>Áp dụng quy tắc tuổi cũ.</w:t>
      </w:r>
    </w:p>
    <w:p>
      <w:pPr>
        <w:pStyle w:val="ListBullet"/>
        <w:spacing w:after="60"/>
      </w:pPr>
      <w:r>
        <w:rPr>
          <w:rFonts w:ascii="Arial" w:hAnsi="Arial" w:eastAsia="Arial"/>
          <w:color w:val="222222"/>
          <w:sz w:val="22"/>
        </w:rPr>
        <w:t>Ghi mức cao nhất là “tù giam” thay vì hình phạt tù.</w:t>
      </w:r>
    </w:p>
    <w:p>
      <w:pPr>
        <w:pStyle w:val="ListBullet"/>
        <w:spacing w:after="60"/>
      </w:pPr>
      <w:r>
        <w:rPr>
          <w:rFonts w:ascii="Arial" w:hAnsi="Arial" w:eastAsia="Arial"/>
          <w:color w:val="222222"/>
          <w:sz w:val="22"/>
        </w:rPr>
        <w:t>Nhầm bị hại với khách thể.</w:t>
      </w:r>
    </w:p>
    <w:p>
      <w:pPr>
        <w:pStyle w:val="Heading3"/>
      </w:pPr>
      <w:r>
        <w:t>Dàn ý trả lời khi thi</w:t>
      </w:r>
    </w:p>
    <w:p>
      <w:pPr>
        <w:pStyle w:val="ListNumber"/>
        <w:spacing w:after="60"/>
      </w:pPr>
      <w:r>
        <w:rPr>
          <w:rFonts w:ascii="Arial" w:hAnsi="Arial" w:eastAsia="Arial"/>
          <w:color w:val="222222"/>
          <w:sz w:val="22"/>
        </w:rPr>
        <w:t>Khái niệm.</w:t>
      </w:r>
    </w:p>
    <w:p>
      <w:pPr>
        <w:pStyle w:val="ListNumber"/>
        <w:spacing w:after="60"/>
      </w:pPr>
      <w:r>
        <w:rPr>
          <w:rFonts w:ascii="Arial" w:hAnsi="Arial" w:eastAsia="Arial"/>
          <w:color w:val="222222"/>
          <w:sz w:val="22"/>
        </w:rPr>
        <w:t>Nguy hiểm.</w:t>
      </w:r>
    </w:p>
    <w:p>
      <w:pPr>
        <w:pStyle w:val="ListNumber"/>
        <w:spacing w:after="60"/>
      </w:pPr>
      <w:r>
        <w:rPr>
          <w:rFonts w:ascii="Arial" w:hAnsi="Arial" w:eastAsia="Arial"/>
          <w:color w:val="222222"/>
          <w:sz w:val="22"/>
        </w:rPr>
        <w:t>Có lỗi.</w:t>
      </w:r>
    </w:p>
    <w:p>
      <w:pPr>
        <w:pStyle w:val="ListNumber"/>
        <w:spacing w:after="60"/>
      </w:pPr>
      <w:r>
        <w:rPr>
          <w:rFonts w:ascii="Arial" w:hAnsi="Arial" w:eastAsia="Arial"/>
          <w:color w:val="222222"/>
          <w:sz w:val="22"/>
        </w:rPr>
        <w:t>Trái BLHS.</w:t>
      </w:r>
    </w:p>
    <w:p>
      <w:pPr>
        <w:pStyle w:val="ListNumber"/>
        <w:spacing w:after="60"/>
      </w:pPr>
      <w:r>
        <w:rPr>
          <w:rFonts w:ascii="Arial" w:hAnsi="Arial" w:eastAsia="Arial"/>
          <w:color w:val="222222"/>
          <w:sz w:val="22"/>
        </w:rPr>
        <w:t>Chịu hình phạt.</w:t>
      </w:r>
    </w:p>
    <w:p>
      <w:pPr>
        <w:pStyle w:val="ListNumber"/>
        <w:spacing w:after="60"/>
      </w:pPr>
      <w:r>
        <w:rPr>
          <w:rFonts w:ascii="Arial" w:hAnsi="Arial" w:eastAsia="Arial"/>
          <w:color w:val="222222"/>
          <w:sz w:val="22"/>
        </w:rPr>
        <w:t>Chủ thể/tuổi.</w:t>
      </w:r>
    </w:p>
    <w:p>
      <w:pPr>
        <w:pStyle w:val="ListNumber"/>
        <w:spacing w:after="60"/>
      </w:pPr>
      <w:r>
        <w:rPr>
          <w:rFonts w:ascii="Arial" w:hAnsi="Arial" w:eastAsia="Arial"/>
          <w:color w:val="222222"/>
          <w:sz w:val="22"/>
        </w:rPr>
        <w:t>Phân loại.</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nguy hiểm cho xã hội; có lỗi; trái BLHS; chịu hình phạt; năng lực TNHS; Điều 12; bốn loại tội phạm</w:t>
            </w:r>
          </w:p>
        </w:tc>
      </w:tr>
    </w:tbl>
    <w:p>
      <w:pPr>
        <w:spacing w:after="0"/>
      </w:pPr>
    </w:p>
    <w:p>
      <w:pPr>
        <w:pStyle w:val="Heading2"/>
      </w:pPr>
      <w:r>
        <w:t>Câu 17. Tố cáo: khái niệm, đặc điểm, thẩm quyền và thủ tục</w:t>
      </w:r>
    </w:p>
    <w:p>
      <w:pPr>
        <w:pStyle w:val="Heading3"/>
      </w:pPr>
      <w:r>
        <w:t>Khái niệm</w:t>
      </w:r>
    </w:p>
    <w:p>
      <w:pPr>
        <w:jc w:val="both"/>
      </w:pPr>
      <w:r>
        <w:rPr>
          <w:rFonts w:ascii="Arial" w:hAnsi="Arial" w:eastAsia="Arial"/>
          <w:color w:val="222222"/>
          <w:sz w:val="22"/>
        </w:rPr>
        <w:t>Tố cáo là việc cá nhân theo thủ tục luật định báo cho cơ quan, tổ chức hoặc cá nhân có thẩm quyền biết về hành vi vi phạm pháp luật gây thiệt hại hoặc đe dọa gây thiệt hại đến lợi ích Nhà nước, quyền và lợi ích hợp pháp của cơ quan, tổ chức, cá nhân.</w:t>
      </w:r>
    </w:p>
    <w:p>
      <w:pPr>
        <w:pStyle w:val="Heading3"/>
      </w:pPr>
      <w:r>
        <w:t>Đặc điểm</w:t>
      </w:r>
    </w:p>
    <w:p>
      <w:pPr>
        <w:pStyle w:val="ListBullet"/>
        <w:spacing w:after="60"/>
      </w:pPr>
      <w:r>
        <w:rPr>
          <w:rFonts w:ascii="Arial" w:hAnsi="Arial" w:eastAsia="Arial"/>
          <w:color w:val="222222"/>
          <w:sz w:val="22"/>
        </w:rPr>
        <w:t>Chủ thể tố cáo là cá nhân.</w:t>
      </w:r>
    </w:p>
    <w:p>
      <w:pPr>
        <w:pStyle w:val="ListBullet"/>
        <w:spacing w:after="60"/>
      </w:pPr>
      <w:r>
        <w:rPr>
          <w:rFonts w:ascii="Arial" w:hAnsi="Arial" w:eastAsia="Arial"/>
          <w:color w:val="222222"/>
          <w:sz w:val="22"/>
        </w:rPr>
        <w:t>Đối tượng là hành vi vi phạm pháp luật trong thực hiện nhiệm vụ, công vụ hoặc hành vi vi phạm về quản lý nhà nước trong các lĩnh vực.</w:t>
      </w:r>
    </w:p>
    <w:p>
      <w:pPr>
        <w:pStyle w:val="ListBullet"/>
        <w:spacing w:after="60"/>
      </w:pPr>
      <w:r>
        <w:rPr>
          <w:rFonts w:ascii="Arial" w:hAnsi="Arial" w:eastAsia="Arial"/>
          <w:color w:val="222222"/>
          <w:sz w:val="22"/>
        </w:rPr>
        <w:t>Khác khiếu nại: khiếu nại nhằm bảo vệ trực tiếp quyền, lợi ích của người khiếu nại trước quyết định/hành vi hành chính hoặc kỷ luật.</w:t>
      </w:r>
    </w:p>
    <w:p>
      <w:pPr>
        <w:pStyle w:val="Heading3"/>
      </w:pPr>
      <w:r>
        <w:t>Thẩm quyền và thủ tục</w:t>
      </w:r>
    </w:p>
    <w:p>
      <w:pPr>
        <w:pStyle w:val="ListBullet"/>
        <w:spacing w:after="60"/>
      </w:pPr>
      <w:r>
        <w:rPr>
          <w:rFonts w:ascii="Arial" w:hAnsi="Arial" w:eastAsia="Arial"/>
          <w:color w:val="222222"/>
          <w:sz w:val="22"/>
        </w:rPr>
        <w:t>Nguyên tắc chung: người đứng đầu cơ quan, tổ chức có thẩm quyền quản lý người bị tố cáo giải quyết; trường hợp khác theo luật chuyên ngành.</w:t>
      </w:r>
    </w:p>
    <w:p>
      <w:pPr>
        <w:pStyle w:val="ListBullet"/>
        <w:spacing w:after="60"/>
      </w:pPr>
      <w:r>
        <w:rPr>
          <w:rFonts w:ascii="Arial" w:hAnsi="Arial" w:eastAsia="Arial"/>
          <w:color w:val="222222"/>
          <w:sz w:val="22"/>
        </w:rPr>
        <w:t>Trình tự: tiếp nhận, xử lý ban đầu → thụ lý → xác minh → kết luận nội dung → xử lý kết luận.</w:t>
      </w:r>
    </w:p>
    <w:p>
      <w:pPr>
        <w:pStyle w:val="ListBullet"/>
        <w:spacing w:after="60"/>
      </w:pPr>
      <w:r>
        <w:rPr>
          <w:rFonts w:ascii="Arial" w:hAnsi="Arial" w:eastAsia="Arial"/>
          <w:color w:val="222222"/>
          <w:sz w:val="22"/>
        </w:rPr>
        <w:t>Thời hạn thông thường không quá 30 ngày từ ngày thụ lý; vụ việc phức tạp có thể gia hạn theo luật.</w:t>
      </w:r>
    </w:p>
    <w:p>
      <w:pPr>
        <w:pStyle w:val="ListBullet"/>
        <w:spacing w:after="60"/>
      </w:pPr>
      <w:r>
        <w:rPr>
          <w:rFonts w:ascii="Arial" w:hAnsi="Arial" w:eastAsia="Arial"/>
          <w:color w:val="222222"/>
          <w:sz w:val="22"/>
        </w:rPr>
        <w:t>Thông tin không rõ họ tên, địa chỉ không xử lý theo thủ tục tố cáo; nhưng nếu nội dung rõ, có tài liệu cụ thể và cơ sở kiểm tra thì có thể được chuyển để thanh tra, kiểm tra.</w:t>
      </w:r>
    </w:p>
    <w:p>
      <w:pPr>
        <w:pStyle w:val="Heading3"/>
      </w:pPr>
      <w:r>
        <w:t>Cơ sở pháp lý</w:t>
      </w:r>
    </w:p>
    <w:p>
      <w:r>
        <w:rPr>
          <w:rFonts w:ascii="Arial" w:hAnsi="Arial" w:eastAsia="Arial"/>
          <w:color w:val="222222"/>
          <w:sz w:val="22"/>
        </w:rPr>
        <w:t>Luật Tố cáo số 25/2018/QH14.</w:t>
      </w:r>
    </w:p>
    <w:p>
      <w:pPr>
        <w:pStyle w:val="Heading3"/>
      </w:pPr>
      <w:r>
        <w:t>Phân tích chi tiết</w:t>
      </w:r>
    </w:p>
    <w:p>
      <w:pPr>
        <w:pStyle w:val="ListBullet"/>
        <w:spacing w:after="60"/>
      </w:pPr>
      <w:r>
        <w:rPr>
          <w:rFonts w:ascii="Arial" w:hAnsi="Arial" w:eastAsia="Arial"/>
          <w:color w:val="222222"/>
          <w:sz w:val="22"/>
        </w:rPr>
        <w:t>Chủ thể tố cáo là cá nhân, không chỉ công dân. Đối tượng là hành vi vi phạm pháp luật của cơ quan, tổ chức, cá nhân trong thực hiện nhiệm vụ, công vụ hoặc quản lý nhà nước.</w:t>
      </w:r>
    </w:p>
    <w:p>
      <w:pPr>
        <w:pStyle w:val="ListBullet"/>
        <w:spacing w:after="60"/>
      </w:pPr>
      <w:r>
        <w:rPr>
          <w:rFonts w:ascii="Arial" w:hAnsi="Arial" w:eastAsia="Arial"/>
          <w:color w:val="222222"/>
          <w:sz w:val="22"/>
        </w:rPr>
        <w:t>Tố cáo khác khiếu nại ở đối tượng và mục đích. Khiếu nại yêu cầu xem xét quyết định/hành vi xâm phạm trực tiếp quyền người khiếu nại; tố cáo báo hành vi vi phạm để xử lý.</w:t>
      </w:r>
    </w:p>
    <w:p>
      <w:pPr>
        <w:pStyle w:val="ListBullet"/>
        <w:spacing w:after="60"/>
      </w:pPr>
      <w:r>
        <w:rPr>
          <w:rFonts w:ascii="Arial" w:hAnsi="Arial" w:eastAsia="Arial"/>
          <w:color w:val="222222"/>
          <w:sz w:val="22"/>
        </w:rPr>
        <w:t>Nguyên tắc chung về thẩm quyền là người đứng đầu cơ quan, tổ chức có thẩm quyền quản lý người bị tố cáo giải quyết; trường hợp đặc biệt theo luật.</w:t>
      </w:r>
    </w:p>
    <w:p>
      <w:pPr>
        <w:pStyle w:val="ListBullet"/>
        <w:spacing w:after="60"/>
      </w:pPr>
      <w:r>
        <w:rPr>
          <w:rFonts w:ascii="Arial" w:hAnsi="Arial" w:eastAsia="Arial"/>
          <w:color w:val="222222"/>
          <w:sz w:val="22"/>
        </w:rPr>
        <w:t>Trình tự gồm tiếp nhận, xử lý ban đầu; thụ lý; xác minh; kết luận nội dung; xử lý kết luận và thông báo theo luật.</w:t>
      </w:r>
    </w:p>
    <w:p>
      <w:pPr>
        <w:pStyle w:val="ListBullet"/>
        <w:spacing w:after="60"/>
      </w:pPr>
      <w:r>
        <w:rPr>
          <w:rFonts w:ascii="Arial" w:hAnsi="Arial" w:eastAsia="Arial"/>
          <w:color w:val="222222"/>
          <w:sz w:val="22"/>
        </w:rPr>
        <w:t>Thời hạn thông thường không quá 30 ngày từ ngày thụ lý; vụ phức tạp có thể gia hạn một lần, đặc biệt phức tạp có thể gia hạn hai lần, mỗi lần không quá 30 ngày.</w:t>
      </w:r>
    </w:p>
    <w:p>
      <w:pPr>
        <w:pStyle w:val="ListBullet"/>
        <w:spacing w:after="60"/>
      </w:pPr>
      <w:r>
        <w:rPr>
          <w:rFonts w:ascii="Arial" w:hAnsi="Arial" w:eastAsia="Arial"/>
          <w:color w:val="222222"/>
          <w:sz w:val="22"/>
        </w:rPr>
        <w:t>Đơn không rõ tên, địa chỉ không giải quyết theo thủ tục tố cáo. Tuy nhiên nếu thông tin rõ, có tài liệu cụ thể và cơ sở kiểm tra thì cơ quan có thể thanh tra, kiểm tra hoặc chuyển cơ quan có thẩm quyền.</w:t>
      </w:r>
    </w:p>
    <w:p>
      <w:pPr>
        <w:pStyle w:val="ListBullet"/>
        <w:spacing w:after="60"/>
      </w:pPr>
      <w:r>
        <w:rPr>
          <w:rFonts w:ascii="Arial" w:hAnsi="Arial" w:eastAsia="Arial"/>
          <w:color w:val="222222"/>
          <w:sz w:val="22"/>
        </w:rPr>
        <w:t>Người tố cáo được bảo mật và có thể được bảo vệ tính mạng, sức khỏe, tài sản, danh dự, vị trí việc làm khi có nguy cơ bị xâm hại.</w:t>
      </w:r>
    </w:p>
    <w:p>
      <w:pPr>
        <w:pStyle w:val="Heading3"/>
      </w:pPr>
      <w:r>
        <w:t>Ví dụ minh họa</w:t>
      </w:r>
    </w:p>
    <w:p>
      <w:pPr>
        <w:jc w:val="both"/>
      </w:pPr>
      <w:r>
        <w:rPr>
          <w:rFonts w:ascii="Arial" w:hAnsi="Arial" w:eastAsia="Arial"/>
          <w:color w:val="222222"/>
          <w:sz w:val="22"/>
        </w:rPr>
        <w:t>A phản đối quyết định phạt mình thì khiếu nại/khởi kiện; B phát hiện cán bộ nhận hối lộ thì tố cáo hoặc báo tin tội phạm.</w:t>
      </w:r>
    </w:p>
    <w:p>
      <w:pPr>
        <w:pStyle w:val="Heading3"/>
      </w:pPr>
      <w:r>
        <w:t>Những lỗi dễ mất điểm</w:t>
      </w:r>
    </w:p>
    <w:p>
      <w:pPr>
        <w:pStyle w:val="ListBullet"/>
        <w:spacing w:after="60"/>
      </w:pPr>
      <w:r>
        <w:rPr>
          <w:rFonts w:ascii="Arial" w:hAnsi="Arial" w:eastAsia="Arial"/>
          <w:color w:val="222222"/>
          <w:sz w:val="22"/>
        </w:rPr>
        <w:t>Dùng Luật Khiếu nại, tố cáo cũ.</w:t>
      </w:r>
    </w:p>
    <w:p>
      <w:pPr>
        <w:pStyle w:val="ListBullet"/>
        <w:spacing w:after="60"/>
      </w:pPr>
      <w:r>
        <w:rPr>
          <w:rFonts w:ascii="Arial" w:hAnsi="Arial" w:eastAsia="Arial"/>
          <w:color w:val="222222"/>
          <w:sz w:val="22"/>
        </w:rPr>
        <w:t>Ghi thời hạn 60/90 ngày như tài liệu cũ.</w:t>
      </w:r>
    </w:p>
    <w:p>
      <w:pPr>
        <w:pStyle w:val="ListBullet"/>
        <w:spacing w:after="60"/>
      </w:pPr>
      <w:r>
        <w:rPr>
          <w:rFonts w:ascii="Arial" w:hAnsi="Arial" w:eastAsia="Arial"/>
          <w:color w:val="222222"/>
          <w:sz w:val="22"/>
        </w:rPr>
        <w:t>Nói đơn nặc danh luôn phải tiêu hủy.</w:t>
      </w:r>
    </w:p>
    <w:p>
      <w:pPr>
        <w:pStyle w:val="ListBullet"/>
        <w:spacing w:after="60"/>
      </w:pPr>
      <w:r>
        <w:rPr>
          <w:rFonts w:ascii="Arial" w:hAnsi="Arial" w:eastAsia="Arial"/>
          <w:color w:val="222222"/>
          <w:sz w:val="22"/>
        </w:rPr>
        <w:t>Cho tổ chức là người tố cáo.</w:t>
      </w:r>
    </w:p>
    <w:p>
      <w:pPr>
        <w:pStyle w:val="Heading3"/>
      </w:pPr>
      <w:r>
        <w:t>Dàn ý trả lời khi thi</w:t>
      </w:r>
    </w:p>
    <w:p>
      <w:pPr>
        <w:pStyle w:val="ListNumber"/>
        <w:spacing w:after="60"/>
      </w:pPr>
      <w:r>
        <w:rPr>
          <w:rFonts w:ascii="Arial" w:hAnsi="Arial" w:eastAsia="Arial"/>
          <w:color w:val="222222"/>
          <w:sz w:val="22"/>
        </w:rPr>
        <w:t>Khái niệm.</w:t>
      </w:r>
    </w:p>
    <w:p>
      <w:pPr>
        <w:pStyle w:val="ListNumber"/>
        <w:spacing w:after="60"/>
      </w:pPr>
      <w:r>
        <w:rPr>
          <w:rFonts w:ascii="Arial" w:hAnsi="Arial" w:eastAsia="Arial"/>
          <w:color w:val="222222"/>
          <w:sz w:val="22"/>
        </w:rPr>
        <w:t>Đặc điểm.</w:t>
      </w:r>
    </w:p>
    <w:p>
      <w:pPr>
        <w:pStyle w:val="ListNumber"/>
        <w:spacing w:after="60"/>
      </w:pPr>
      <w:r>
        <w:rPr>
          <w:rFonts w:ascii="Arial" w:hAnsi="Arial" w:eastAsia="Arial"/>
          <w:color w:val="222222"/>
          <w:sz w:val="22"/>
        </w:rPr>
        <w:t>So sánh khiếu nại.</w:t>
      </w:r>
    </w:p>
    <w:p>
      <w:pPr>
        <w:pStyle w:val="ListNumber"/>
        <w:spacing w:after="60"/>
      </w:pPr>
      <w:r>
        <w:rPr>
          <w:rFonts w:ascii="Arial" w:hAnsi="Arial" w:eastAsia="Arial"/>
          <w:color w:val="222222"/>
          <w:sz w:val="22"/>
        </w:rPr>
        <w:t>Thẩm quyền.</w:t>
      </w:r>
    </w:p>
    <w:p>
      <w:pPr>
        <w:pStyle w:val="ListNumber"/>
        <w:spacing w:after="60"/>
      </w:pPr>
      <w:r>
        <w:rPr>
          <w:rFonts w:ascii="Arial" w:hAnsi="Arial" w:eastAsia="Arial"/>
          <w:color w:val="222222"/>
          <w:sz w:val="22"/>
        </w:rPr>
        <w:t>Trình tự.</w:t>
      </w:r>
    </w:p>
    <w:p>
      <w:pPr>
        <w:pStyle w:val="ListNumber"/>
        <w:spacing w:after="60"/>
      </w:pPr>
      <w:r>
        <w:rPr>
          <w:rFonts w:ascii="Arial" w:hAnsi="Arial" w:eastAsia="Arial"/>
          <w:color w:val="222222"/>
          <w:sz w:val="22"/>
        </w:rPr>
        <w:t>Thời hạn.</w:t>
      </w:r>
    </w:p>
    <w:p>
      <w:pPr>
        <w:pStyle w:val="ListNumber"/>
        <w:spacing w:after="60"/>
      </w:pPr>
      <w:r>
        <w:rPr>
          <w:rFonts w:ascii="Arial" w:hAnsi="Arial" w:eastAsia="Arial"/>
          <w:color w:val="222222"/>
          <w:sz w:val="22"/>
        </w:rPr>
        <w:t>Bảo vệ người tố cáo.</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cá nhân; hành vi vi phạm; phân biệt khiếu nại; thụ lý; xác minh; kết luận; 30 ngày; bảo vệ người tố cáo</w:t>
            </w:r>
          </w:p>
        </w:tc>
      </w:tr>
    </w:tbl>
    <w:p>
      <w:pPr>
        <w:spacing w:after="0"/>
      </w:pPr>
    </w:p>
    <w:p>
      <w:pPr>
        <w:pStyle w:val="Heading2"/>
      </w:pPr>
      <w:r>
        <w:t>Câu 18. Luật Hôn nhân và gia đình và các nguyên tắc cơ bản</w:t>
      </w:r>
    </w:p>
    <w:p>
      <w:pPr>
        <w:pStyle w:val="Heading3"/>
      </w:pPr>
      <w:r>
        <w:t>Khái niệm</w:t>
      </w:r>
    </w:p>
    <w:p>
      <w:pPr>
        <w:jc w:val="both"/>
      </w:pPr>
      <w:r>
        <w:rPr>
          <w:rFonts w:ascii="Arial" w:hAnsi="Arial" w:eastAsia="Arial"/>
          <w:color w:val="222222"/>
          <w:sz w:val="22"/>
        </w:rPr>
        <w:t>Luật Hôn nhân và gia đình là ngành luật điều chỉnh quan hệ nhân thân và tài sản giữa vợ chồng, cha mẹ và con, cùng các thành viên gia đình.</w:t>
      </w:r>
    </w:p>
    <w:p>
      <w:pPr>
        <w:pStyle w:val="Heading3"/>
      </w:pPr>
      <w:r>
        <w:t>Nguyên tắc theo Luật năm 2014</w:t>
      </w:r>
    </w:p>
    <w:p>
      <w:pPr>
        <w:pStyle w:val="ListBullet"/>
        <w:spacing w:after="60"/>
      </w:pPr>
      <w:r>
        <w:rPr>
          <w:rFonts w:ascii="Arial" w:hAnsi="Arial" w:eastAsia="Arial"/>
          <w:color w:val="222222"/>
          <w:sz w:val="22"/>
        </w:rPr>
        <w:t>Hôn nhân tự nguyện, tiến bộ, một vợ một chồng, vợ chồng bình đẳng.</w:t>
      </w:r>
    </w:p>
    <w:p>
      <w:pPr>
        <w:pStyle w:val="ListBullet"/>
        <w:spacing w:after="60"/>
      </w:pPr>
      <w:r>
        <w:rPr>
          <w:rFonts w:ascii="Arial" w:hAnsi="Arial" w:eastAsia="Arial"/>
          <w:color w:val="222222"/>
          <w:sz w:val="22"/>
        </w:rPr>
        <w:t>Hôn nhân giữa công dân thuộc các dân tộc, tôn giáo; giữa người có và không có tôn giáo; giữa công dân Việt Nam với người nước ngoài được tôn trọng và bảo vệ.</w:t>
      </w:r>
    </w:p>
    <w:p>
      <w:pPr>
        <w:pStyle w:val="ListBullet"/>
        <w:spacing w:after="60"/>
      </w:pPr>
      <w:r>
        <w:rPr>
          <w:rFonts w:ascii="Arial" w:hAnsi="Arial" w:eastAsia="Arial"/>
          <w:color w:val="222222"/>
          <w:sz w:val="22"/>
        </w:rPr>
        <w:t>Xây dựng gia đình ấm no, tiến bộ, hạnh phúc; các thành viên tôn trọng, quan tâm, chăm sóc, giúp đỡ nhau.</w:t>
      </w:r>
    </w:p>
    <w:p>
      <w:pPr>
        <w:pStyle w:val="ListBullet"/>
        <w:spacing w:after="60"/>
      </w:pPr>
      <w:r>
        <w:rPr>
          <w:rFonts w:ascii="Arial" w:hAnsi="Arial" w:eastAsia="Arial"/>
          <w:color w:val="222222"/>
          <w:sz w:val="22"/>
        </w:rPr>
        <w:t>Không phân biệt đối xử giữa các con; bảo vệ trẻ em, người cao tuổi, người khuyết tật và người mẹ.</w:t>
      </w:r>
    </w:p>
    <w:p>
      <w:pPr>
        <w:pStyle w:val="ListBullet"/>
        <w:spacing w:after="60"/>
      </w:pPr>
      <w:r>
        <w:rPr>
          <w:rFonts w:ascii="Arial" w:hAnsi="Arial" w:eastAsia="Arial"/>
          <w:color w:val="222222"/>
          <w:sz w:val="22"/>
        </w:rPr>
        <w:t>Kế thừa, phát huy truyền thống tốt đẹp; xóa bỏ phong tục, tập quán lạc hậu.</w:t>
      </w:r>
    </w:p>
    <w:p>
      <w:pPr>
        <w:pStyle w:val="Heading3"/>
      </w:pPr>
      <w:r>
        <w:t>Lưu ý</w:t>
      </w:r>
    </w:p>
    <w:p>
      <w:pPr>
        <w:jc w:val="both"/>
      </w:pPr>
      <w:r>
        <w:rPr>
          <w:rFonts w:ascii="Arial" w:hAnsi="Arial" w:eastAsia="Arial"/>
          <w:color w:val="222222"/>
          <w:sz w:val="22"/>
        </w:rPr>
        <w:t>Nam, nữ chung sống như vợ chồng mà không đăng ký kết hôn thì không phát sinh quyền, nghĩa vụ giữa vợ và chồng; tài sản và con chung được giải quyết theo quy định tương ứng.</w:t>
      </w:r>
    </w:p>
    <w:p>
      <w:pPr>
        <w:pStyle w:val="Heading3"/>
      </w:pPr>
      <w:r>
        <w:t>Cơ sở pháp lý</w:t>
      </w:r>
    </w:p>
    <w:p>
      <w:r>
        <w:rPr>
          <w:rFonts w:ascii="Arial" w:hAnsi="Arial" w:eastAsia="Arial"/>
          <w:color w:val="222222"/>
          <w:sz w:val="22"/>
        </w:rPr>
        <w:t>Điều 2 và các quy định liên quan của Luật Hôn nhân và gia đình năm 2014.</w:t>
      </w:r>
    </w:p>
    <w:p>
      <w:pPr>
        <w:pStyle w:val="Heading3"/>
      </w:pPr>
      <w:r>
        <w:t>Phân tích chi tiết</w:t>
      </w:r>
    </w:p>
    <w:p>
      <w:pPr>
        <w:pStyle w:val="ListBullet"/>
        <w:spacing w:after="60"/>
      </w:pPr>
      <w:r>
        <w:rPr>
          <w:rFonts w:ascii="Arial" w:hAnsi="Arial" w:eastAsia="Arial"/>
          <w:color w:val="222222"/>
          <w:sz w:val="22"/>
        </w:rPr>
        <w:t>Hôn nhân tự nguyện, tiến bộ đòi hỏi nam nữ tự quyết định, đủ điều kiện, không bị cưỡng ép hoặc lừa dối và đăng ký tại cơ quan có thẩm quyền.</w:t>
      </w:r>
    </w:p>
    <w:p>
      <w:pPr>
        <w:pStyle w:val="ListBullet"/>
        <w:spacing w:after="60"/>
      </w:pPr>
      <w:r>
        <w:rPr>
          <w:rFonts w:ascii="Arial" w:hAnsi="Arial" w:eastAsia="Arial"/>
          <w:color w:val="222222"/>
          <w:sz w:val="22"/>
        </w:rPr>
        <w:t>Một vợ một chồng là nguyên tắc bắt buộc; sự đồng ý của người vợ hoặc chồng hiện tại không làm hợp pháp quan hệ với người thứ ba.</w:t>
      </w:r>
    </w:p>
    <w:p>
      <w:pPr>
        <w:pStyle w:val="ListBullet"/>
        <w:spacing w:after="60"/>
      </w:pPr>
      <w:r>
        <w:rPr>
          <w:rFonts w:ascii="Arial" w:hAnsi="Arial" w:eastAsia="Arial"/>
          <w:color w:val="222222"/>
          <w:sz w:val="22"/>
        </w:rPr>
        <w:t>Vợ chồng bình đẳng về nhân thân, tài sản, lựa chọn nơi cư trú, nghề nghiệp, chăm sóc con và đại diện. Bình đẳng không phủ nhận việc thỏa thuận phân công phù hợp.</w:t>
      </w:r>
    </w:p>
    <w:p>
      <w:pPr>
        <w:pStyle w:val="ListBullet"/>
        <w:spacing w:after="60"/>
      </w:pPr>
      <w:r>
        <w:rPr>
          <w:rFonts w:ascii="Arial" w:hAnsi="Arial" w:eastAsia="Arial"/>
          <w:color w:val="222222"/>
          <w:sz w:val="22"/>
        </w:rPr>
        <w:t>Nhà nước tôn trọng hôn nhân giữa các dân tộc, tôn giáo và có yếu tố nước ngoài nếu đáp ứng điều kiện pháp luật.</w:t>
      </w:r>
    </w:p>
    <w:p>
      <w:pPr>
        <w:pStyle w:val="ListBullet"/>
        <w:spacing w:after="60"/>
      </w:pPr>
      <w:r>
        <w:rPr>
          <w:rFonts w:ascii="Arial" w:hAnsi="Arial" w:eastAsia="Arial"/>
          <w:color w:val="222222"/>
          <w:sz w:val="22"/>
        </w:rPr>
        <w:t>Gia đình có nghĩa vụ tôn trọng, chăm sóc, giúp đỡ; bảo vệ trẻ em, người cao tuổi, người khuyết tật; không phân biệt giữa các con.</w:t>
      </w:r>
    </w:p>
    <w:p>
      <w:pPr>
        <w:pStyle w:val="ListBullet"/>
        <w:spacing w:after="60"/>
      </w:pPr>
      <w:r>
        <w:rPr>
          <w:rFonts w:ascii="Arial" w:hAnsi="Arial" w:eastAsia="Arial"/>
          <w:color w:val="222222"/>
          <w:sz w:val="22"/>
        </w:rPr>
        <w:t>Nam nữ chung sống mà không đăng ký không phát sinh quyền nghĩa vụ vợ chồng; quan hệ con chung vẫn được bảo vệ; tài sản giải quyết theo thỏa thuận, công sức đóng góp và pháp luật dân sự.</w:t>
      </w:r>
    </w:p>
    <w:p>
      <w:pPr>
        <w:pStyle w:val="ListBullet"/>
        <w:spacing w:after="60"/>
      </w:pPr>
      <w:r>
        <w:rPr>
          <w:rFonts w:ascii="Arial" w:hAnsi="Arial" w:eastAsia="Arial"/>
          <w:color w:val="222222"/>
          <w:sz w:val="22"/>
        </w:rPr>
        <w:t>Các hành vi bị cấm gồm tảo hôn, cưỡng ép, kết hôn giả, vi phạm một vợ một chồng, bạo lực, lợi dụng hôn nhân để mua bán người hoặc trục lợi.</w:t>
      </w:r>
    </w:p>
    <w:p>
      <w:pPr>
        <w:pStyle w:val="Heading3"/>
      </w:pPr>
      <w:r>
        <w:t>Ví dụ minh họa</w:t>
      </w:r>
    </w:p>
    <w:p>
      <w:pPr>
        <w:jc w:val="both"/>
      </w:pPr>
      <w:r>
        <w:rPr>
          <w:rFonts w:ascii="Arial" w:hAnsi="Arial" w:eastAsia="Arial"/>
          <w:color w:val="222222"/>
          <w:sz w:val="22"/>
        </w:rPr>
        <w:t>Ông A đang có vợ mà sống với bà B: B không trở thành vợ hợp pháp dù vợ A đồng ý; nhưng con của A và B có quyền như các con khác khi quan hệ cha con được xác định.</w:t>
      </w:r>
    </w:p>
    <w:p>
      <w:pPr>
        <w:pStyle w:val="Heading3"/>
      </w:pPr>
      <w:r>
        <w:t>Những lỗi dễ mất điểm</w:t>
      </w:r>
    </w:p>
    <w:p>
      <w:pPr>
        <w:pStyle w:val="ListBullet"/>
        <w:spacing w:after="60"/>
      </w:pPr>
      <w:r>
        <w:rPr>
          <w:rFonts w:ascii="Arial" w:hAnsi="Arial" w:eastAsia="Arial"/>
          <w:color w:val="222222"/>
          <w:sz w:val="22"/>
        </w:rPr>
        <w:t>Dùng Luật năm 2000.</w:t>
      </w:r>
    </w:p>
    <w:p>
      <w:pPr>
        <w:pStyle w:val="ListBullet"/>
        <w:spacing w:after="60"/>
      </w:pPr>
      <w:r>
        <w:rPr>
          <w:rFonts w:ascii="Arial" w:hAnsi="Arial" w:eastAsia="Arial"/>
          <w:color w:val="222222"/>
          <w:sz w:val="22"/>
        </w:rPr>
        <w:t>Cho vợ đồng ý thì được lấy vợ hai.</w:t>
      </w:r>
    </w:p>
    <w:p>
      <w:pPr>
        <w:pStyle w:val="ListBullet"/>
        <w:spacing w:after="60"/>
      </w:pPr>
      <w:r>
        <w:rPr>
          <w:rFonts w:ascii="Arial" w:hAnsi="Arial" w:eastAsia="Arial"/>
          <w:color w:val="222222"/>
          <w:sz w:val="22"/>
        </w:rPr>
        <w:t>Mặc nhiên chia đôi tài sản người chung sống không đăng ký.</w:t>
      </w:r>
    </w:p>
    <w:p>
      <w:pPr>
        <w:pStyle w:val="ListBullet"/>
        <w:spacing w:after="60"/>
      </w:pPr>
      <w:r>
        <w:rPr>
          <w:rFonts w:ascii="Arial" w:hAnsi="Arial" w:eastAsia="Arial"/>
          <w:color w:val="222222"/>
          <w:sz w:val="22"/>
        </w:rPr>
        <w:t>Dùng thuật ngữ phân biệt con.</w:t>
      </w:r>
    </w:p>
    <w:p>
      <w:pPr>
        <w:pStyle w:val="Heading3"/>
      </w:pPr>
      <w:r>
        <w:t>Dàn ý trả lời khi thi</w:t>
      </w:r>
    </w:p>
    <w:p>
      <w:pPr>
        <w:pStyle w:val="ListNumber"/>
        <w:spacing w:after="60"/>
      </w:pPr>
      <w:r>
        <w:rPr>
          <w:rFonts w:ascii="Arial" w:hAnsi="Arial" w:eastAsia="Arial"/>
          <w:color w:val="222222"/>
          <w:sz w:val="22"/>
        </w:rPr>
        <w:t>Khái niệm.</w:t>
      </w:r>
    </w:p>
    <w:p>
      <w:pPr>
        <w:pStyle w:val="ListNumber"/>
        <w:spacing w:after="60"/>
      </w:pPr>
      <w:r>
        <w:rPr>
          <w:rFonts w:ascii="Arial" w:hAnsi="Arial" w:eastAsia="Arial"/>
          <w:color w:val="222222"/>
          <w:sz w:val="22"/>
        </w:rPr>
        <w:t>Tự nguyện–tiến bộ.</w:t>
      </w:r>
    </w:p>
    <w:p>
      <w:pPr>
        <w:pStyle w:val="ListNumber"/>
        <w:spacing w:after="60"/>
      </w:pPr>
      <w:r>
        <w:rPr>
          <w:rFonts w:ascii="Arial" w:hAnsi="Arial" w:eastAsia="Arial"/>
          <w:color w:val="222222"/>
          <w:sz w:val="22"/>
        </w:rPr>
        <w:t>Một vợ một chồng–bình đẳng.</w:t>
      </w:r>
    </w:p>
    <w:p>
      <w:pPr>
        <w:pStyle w:val="ListNumber"/>
        <w:spacing w:after="60"/>
      </w:pPr>
      <w:r>
        <w:rPr>
          <w:rFonts w:ascii="Arial" w:hAnsi="Arial" w:eastAsia="Arial"/>
          <w:color w:val="222222"/>
          <w:sz w:val="22"/>
        </w:rPr>
        <w:t>Tôn trọng dân tộc/tôn giáo.</w:t>
      </w:r>
    </w:p>
    <w:p>
      <w:pPr>
        <w:pStyle w:val="ListNumber"/>
        <w:spacing w:after="60"/>
      </w:pPr>
      <w:r>
        <w:rPr>
          <w:rFonts w:ascii="Arial" w:hAnsi="Arial" w:eastAsia="Arial"/>
          <w:color w:val="222222"/>
          <w:sz w:val="22"/>
        </w:rPr>
        <w:t>Bảo vệ gia đình và thành viên.</w:t>
      </w:r>
    </w:p>
    <w:p>
      <w:pPr>
        <w:pStyle w:val="ListNumber"/>
        <w:spacing w:after="60"/>
      </w:pPr>
      <w:r>
        <w:rPr>
          <w:rFonts w:ascii="Arial" w:hAnsi="Arial" w:eastAsia="Arial"/>
          <w:color w:val="222222"/>
          <w:sz w:val="22"/>
        </w:rPr>
        <w:t>Chung sống không đăng ký.</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tự nguyện; tiến bộ; một vợ một chồng; bình đẳng; đăng ký kết hôn; bảo vệ thành viên yếu thế</w:t>
            </w:r>
          </w:p>
        </w:tc>
      </w:tr>
    </w:tbl>
    <w:p>
      <w:pPr>
        <w:spacing w:after="0"/>
      </w:pPr>
    </w:p>
    <w:p>
      <w:pPr>
        <w:pStyle w:val="Heading2"/>
      </w:pPr>
      <w:r>
        <w:t>Câu 19. Nội dung cơ bản của Hiến pháp năm 2013 và cập nhật năm 2025</w:t>
      </w:r>
    </w:p>
    <w:p>
      <w:pPr>
        <w:pStyle w:val="Heading3"/>
      </w:pPr>
      <w:r>
        <w:t>Vị trí</w:t>
      </w:r>
    </w:p>
    <w:p>
      <w:pPr>
        <w:jc w:val="both"/>
      </w:pPr>
      <w:r>
        <w:rPr>
          <w:rFonts w:ascii="Arial" w:hAnsi="Arial" w:eastAsia="Arial"/>
          <w:color w:val="222222"/>
          <w:sz w:val="22"/>
        </w:rPr>
        <w:t>Hiến pháp là luật cơ bản, có hiệu lực pháp lý cao nhất. Mọi văn bản pháp luật khác phải phù hợp với Hiến pháp; mọi hành vi vi phạm Hiến pháp phải bị xử lý.</w:t>
      </w:r>
    </w:p>
    <w:p>
      <w:pPr>
        <w:pStyle w:val="Heading3"/>
      </w:pPr>
      <w:r>
        <w:t>Các nhóm nội dung</w:t>
      </w:r>
    </w:p>
    <w:p>
      <w:pPr>
        <w:pStyle w:val="ListBullet"/>
        <w:spacing w:after="60"/>
      </w:pPr>
      <w:r>
        <w:rPr>
          <w:rFonts w:ascii="Arial" w:hAnsi="Arial" w:eastAsia="Arial"/>
          <w:color w:val="222222"/>
          <w:sz w:val="22"/>
        </w:rPr>
        <w:t>Chế độ chính trị; bản chất Nhà nước; chủ quyền Nhân dân; vai trò lãnh đạo của Đảng.</w:t>
      </w:r>
    </w:p>
    <w:p>
      <w:pPr>
        <w:pStyle w:val="ListBullet"/>
        <w:spacing w:after="60"/>
      </w:pPr>
      <w:r>
        <w:rPr>
          <w:rFonts w:ascii="Arial" w:hAnsi="Arial" w:eastAsia="Arial"/>
          <w:color w:val="222222"/>
          <w:sz w:val="22"/>
        </w:rPr>
        <w:t>Quyền con người, quyền và nghĩa vụ cơ bản của công dân.</w:t>
      </w:r>
    </w:p>
    <w:p>
      <w:pPr>
        <w:pStyle w:val="ListBullet"/>
        <w:spacing w:after="60"/>
      </w:pPr>
      <w:r>
        <w:rPr>
          <w:rFonts w:ascii="Arial" w:hAnsi="Arial" w:eastAsia="Arial"/>
          <w:color w:val="222222"/>
          <w:sz w:val="22"/>
        </w:rPr>
        <w:t>Kinh tế, xã hội, văn hóa, giáo dục, khoa học, công nghệ và môi trường.</w:t>
      </w:r>
    </w:p>
    <w:p>
      <w:pPr>
        <w:pStyle w:val="ListBullet"/>
        <w:spacing w:after="60"/>
      </w:pPr>
      <w:r>
        <w:rPr>
          <w:rFonts w:ascii="Arial" w:hAnsi="Arial" w:eastAsia="Arial"/>
          <w:color w:val="222222"/>
          <w:sz w:val="22"/>
        </w:rPr>
        <w:t>Bảo vệ Tổ quốc.</w:t>
      </w:r>
    </w:p>
    <w:p>
      <w:pPr>
        <w:pStyle w:val="ListBullet"/>
        <w:spacing w:after="60"/>
      </w:pPr>
      <w:r>
        <w:rPr>
          <w:rFonts w:ascii="Arial" w:hAnsi="Arial" w:eastAsia="Arial"/>
          <w:color w:val="222222"/>
          <w:sz w:val="22"/>
        </w:rPr>
        <w:t>Tổ chức bộ máy nhà nước: Quốc hội, Chủ tịch nước, Chính phủ, Tòa án, Viện kiểm sát, chính quyền địa phương, Hội đồng bầu cử quốc gia và Kiểm toán nhà nước.</w:t>
      </w:r>
    </w:p>
    <w:p>
      <w:pPr>
        <w:pStyle w:val="ListBullet"/>
        <w:spacing w:after="60"/>
      </w:pPr>
      <w:r>
        <w:rPr>
          <w:rFonts w:ascii="Arial" w:hAnsi="Arial" w:eastAsia="Arial"/>
          <w:color w:val="222222"/>
          <w:sz w:val="22"/>
        </w:rPr>
        <w:t>Hiệu lực và thủ tục sửa đổi Hiến pháp.</w:t>
      </w:r>
    </w:p>
    <w:p>
      <w:pPr>
        <w:pStyle w:val="Heading3"/>
      </w:pPr>
      <w:r>
        <w:t>Cập nhật cần nhớ</w:t>
      </w:r>
    </w:p>
    <w:p>
      <w:pPr>
        <w:pStyle w:val="ListBullet"/>
        <w:spacing w:after="60"/>
      </w:pPr>
      <w:r>
        <w:rPr>
          <w:rFonts w:ascii="Arial" w:hAnsi="Arial" w:eastAsia="Arial"/>
          <w:color w:val="222222"/>
          <w:sz w:val="22"/>
        </w:rPr>
        <w:t>Năm 2025, một số điều của Hiến pháp được sửa đổi, bổ sung để phù hợp việc sắp xếp tổ chức bộ máy, củng cố vai trò của Mặt trận Tổ quốc Việt Nam và tổ chức chính quyền địa phương theo mô hình hai cấp.</w:t>
      </w:r>
    </w:p>
    <w:p>
      <w:pPr>
        <w:pStyle w:val="ListBullet"/>
        <w:spacing w:after="60"/>
      </w:pPr>
      <w:r>
        <w:rPr>
          <w:rFonts w:ascii="Arial" w:hAnsi="Arial" w:eastAsia="Arial"/>
          <w:color w:val="222222"/>
          <w:sz w:val="22"/>
        </w:rPr>
        <w:t>Khi trả lời đề thi, cần xác định giảng viên yêu cầu phân tích bản gốc năm 2013 hay nội dung hiện hành sau sửa đổi.</w:t>
      </w:r>
    </w:p>
    <w:p>
      <w:pPr>
        <w:pStyle w:val="Heading3"/>
      </w:pPr>
      <w:r>
        <w:t>Cơ sở pháp lý</w:t>
      </w:r>
    </w:p>
    <w:p>
      <w:r>
        <w:rPr>
          <w:rFonts w:ascii="Arial" w:hAnsi="Arial" w:eastAsia="Arial"/>
          <w:color w:val="222222"/>
          <w:sz w:val="22"/>
        </w:rPr>
        <w:t>Hiến pháp năm 2013 và Nghị quyết sửa đổi, bổ sung một số điều được Quốc hội thông qua ngày 16/6/2025.</w:t>
      </w:r>
    </w:p>
    <w:p>
      <w:pPr>
        <w:pStyle w:val="Heading3"/>
      </w:pPr>
      <w:r>
        <w:t>Phân tích chi tiết</w:t>
      </w:r>
    </w:p>
    <w:p>
      <w:pPr>
        <w:pStyle w:val="ListBullet"/>
        <w:spacing w:after="60"/>
      </w:pPr>
      <w:r>
        <w:rPr>
          <w:rFonts w:ascii="Arial" w:hAnsi="Arial" w:eastAsia="Arial"/>
          <w:color w:val="222222"/>
          <w:sz w:val="22"/>
        </w:rPr>
        <w:t>Hiến pháp là luật cơ bản, có hiệu lực cao nhất, quy định nền tảng chế độ chính trị, quyền con người, tổ chức quyền lực, kinh tế – xã hội và bảo vệ Tổ quốc.</w:t>
      </w:r>
    </w:p>
    <w:p>
      <w:pPr>
        <w:pStyle w:val="ListBullet"/>
        <w:spacing w:after="60"/>
      </w:pPr>
      <w:r>
        <w:rPr>
          <w:rFonts w:ascii="Arial" w:hAnsi="Arial" w:eastAsia="Arial"/>
          <w:color w:val="222222"/>
          <w:sz w:val="22"/>
        </w:rPr>
        <w:t>Chương về chế độ chính trị xác định bản chất Nhà nước, chủ quyền Nhân dân, nguyên tắc quyền lực thống nhất có phân công, phối hợp, kiểm soát, vai trò lãnh đạo của Đảng và Mặt trận.</w:t>
      </w:r>
    </w:p>
    <w:p>
      <w:pPr>
        <w:pStyle w:val="ListBullet"/>
        <w:spacing w:after="60"/>
      </w:pPr>
      <w:r>
        <w:rPr>
          <w:rFonts w:ascii="Arial" w:hAnsi="Arial" w:eastAsia="Arial"/>
          <w:color w:val="222222"/>
          <w:sz w:val="22"/>
        </w:rPr>
        <w:t>Chương quyền con người, quyền công dân ghi nhận các quyền dân sự, chính trị, kinh tế, xã hội, văn hóa và nghĩa vụ. Quyền con người gắn với mọi cá nhân; quyền công dân gắn với quốc tịch.</w:t>
      </w:r>
    </w:p>
    <w:p>
      <w:pPr>
        <w:pStyle w:val="ListBullet"/>
        <w:spacing w:after="60"/>
      </w:pPr>
      <w:r>
        <w:rPr>
          <w:rFonts w:ascii="Arial" w:hAnsi="Arial" w:eastAsia="Arial"/>
          <w:color w:val="222222"/>
          <w:sz w:val="22"/>
        </w:rPr>
        <w:t>Quyền chỉ có thể bị hạn chế theo luật trong trường hợp cần thiết vì các mục đích hiến định. Văn bản dưới luật không thể tự đặt giới hạn quyền vượt quá luật.</w:t>
      </w:r>
    </w:p>
    <w:p>
      <w:pPr>
        <w:pStyle w:val="ListBullet"/>
        <w:spacing w:after="60"/>
      </w:pPr>
      <w:r>
        <w:rPr>
          <w:rFonts w:ascii="Arial" w:hAnsi="Arial" w:eastAsia="Arial"/>
          <w:color w:val="222222"/>
          <w:sz w:val="22"/>
        </w:rPr>
        <w:t>Quốc hội thực hiện quyền lập hiến, lập pháp và giám sát tối cao; Chính phủ thực hiện quyền hành pháp; Tòa án thực hiện quyền tư pháp; Viện kiểm sát công tố và kiểm sát tư pháp; Chủ tịch nước đứng đầu Nhà nước.</w:t>
      </w:r>
    </w:p>
    <w:p>
      <w:pPr>
        <w:pStyle w:val="ListBullet"/>
        <w:spacing w:after="60"/>
      </w:pPr>
      <w:r>
        <w:rPr>
          <w:rFonts w:ascii="Arial" w:hAnsi="Arial" w:eastAsia="Arial"/>
          <w:color w:val="222222"/>
          <w:sz w:val="22"/>
        </w:rPr>
        <w:t>Các chương khác quy định kinh tế, xã hội, văn hóa, giáo dục, khoa học, công nghệ, môi trường; bảo vệ Tổ quốc; chính quyền địa phương; Hội đồng bầu cử quốc gia; Kiểm toán nhà nước.</w:t>
      </w:r>
    </w:p>
    <w:p>
      <w:pPr>
        <w:pStyle w:val="ListBullet"/>
        <w:spacing w:after="60"/>
      </w:pPr>
      <w:r>
        <w:rPr>
          <w:rFonts w:ascii="Arial" w:hAnsi="Arial" w:eastAsia="Arial"/>
          <w:color w:val="222222"/>
          <w:sz w:val="22"/>
        </w:rPr>
        <w:t>Sửa đổi năm 2025 liên quan sắp xếp tổ chức bộ máy, Mặt trận Tổ quốc và mô hình chính quyền địa phương hai cấp. Khi thi cần căn cứ yêu cầu giảng viên để trình bày nội dung hiện hành hoặc so sánh bản năm 2013.</w:t>
      </w:r>
    </w:p>
    <w:p>
      <w:pPr>
        <w:pStyle w:val="Heading3"/>
      </w:pPr>
      <w:r>
        <w:t>Ví dụ minh họa</w:t>
      </w:r>
    </w:p>
    <w:p>
      <w:pPr>
        <w:jc w:val="both"/>
      </w:pPr>
      <w:r>
        <w:rPr>
          <w:rFonts w:ascii="Arial" w:hAnsi="Arial" w:eastAsia="Arial"/>
          <w:color w:val="222222"/>
          <w:sz w:val="22"/>
        </w:rPr>
        <w:t>Nếu một thông tư hạn chế quyền công dân mà không có căn cứ luật thì không chỉ có nguy cơ trái luật mà còn đặt ra vấn đề bảo đảm quyền theo Hiến pháp.</w:t>
      </w:r>
    </w:p>
    <w:p>
      <w:pPr>
        <w:pStyle w:val="Heading3"/>
      </w:pPr>
      <w:r>
        <w:t>Những lỗi dễ mất điểm</w:t>
      </w:r>
    </w:p>
    <w:p>
      <w:pPr>
        <w:pStyle w:val="ListBullet"/>
        <w:spacing w:after="60"/>
      </w:pPr>
      <w:r>
        <w:rPr>
          <w:rFonts w:ascii="Arial" w:hAnsi="Arial" w:eastAsia="Arial"/>
          <w:color w:val="222222"/>
          <w:sz w:val="22"/>
        </w:rPr>
        <w:t>Chỉ liệt kê tên 11 chương.</w:t>
      </w:r>
    </w:p>
    <w:p>
      <w:pPr>
        <w:pStyle w:val="ListBullet"/>
        <w:spacing w:after="60"/>
      </w:pPr>
      <w:r>
        <w:rPr>
          <w:rFonts w:ascii="Arial" w:hAnsi="Arial" w:eastAsia="Arial"/>
          <w:color w:val="222222"/>
          <w:sz w:val="22"/>
        </w:rPr>
        <w:t>Nhầm quyền con người và quyền công dân.</w:t>
      </w:r>
    </w:p>
    <w:p>
      <w:pPr>
        <w:pStyle w:val="ListBullet"/>
        <w:spacing w:after="60"/>
      </w:pPr>
      <w:r>
        <w:rPr>
          <w:rFonts w:ascii="Arial" w:hAnsi="Arial" w:eastAsia="Arial"/>
          <w:color w:val="222222"/>
          <w:sz w:val="22"/>
        </w:rPr>
        <w:t>Gọi Chính phủ là cơ quan quyền lực cao nhất.</w:t>
      </w:r>
    </w:p>
    <w:p>
      <w:pPr>
        <w:pStyle w:val="ListBullet"/>
        <w:spacing w:after="60"/>
      </w:pPr>
      <w:r>
        <w:rPr>
          <w:rFonts w:ascii="Arial" w:hAnsi="Arial" w:eastAsia="Arial"/>
          <w:color w:val="222222"/>
          <w:sz w:val="22"/>
        </w:rPr>
        <w:t>Bỏ cập nhật 2025.</w:t>
      </w:r>
    </w:p>
    <w:p>
      <w:pPr>
        <w:pStyle w:val="Heading3"/>
      </w:pPr>
      <w:r>
        <w:t>Dàn ý trả lời khi thi</w:t>
      </w:r>
    </w:p>
    <w:p>
      <w:pPr>
        <w:pStyle w:val="ListNumber"/>
        <w:spacing w:after="60"/>
      </w:pPr>
      <w:r>
        <w:rPr>
          <w:rFonts w:ascii="Arial" w:hAnsi="Arial" w:eastAsia="Arial"/>
          <w:color w:val="222222"/>
          <w:sz w:val="22"/>
        </w:rPr>
        <w:t>Vị trí và hiệu lực.</w:t>
      </w:r>
    </w:p>
    <w:p>
      <w:pPr>
        <w:pStyle w:val="ListNumber"/>
        <w:spacing w:after="60"/>
      </w:pPr>
      <w:r>
        <w:rPr>
          <w:rFonts w:ascii="Arial" w:hAnsi="Arial" w:eastAsia="Arial"/>
          <w:color w:val="222222"/>
          <w:sz w:val="22"/>
        </w:rPr>
        <w:t>Chế độ chính trị.</w:t>
      </w:r>
    </w:p>
    <w:p>
      <w:pPr>
        <w:pStyle w:val="ListNumber"/>
        <w:spacing w:after="60"/>
      </w:pPr>
      <w:r>
        <w:rPr>
          <w:rFonts w:ascii="Arial" w:hAnsi="Arial" w:eastAsia="Arial"/>
          <w:color w:val="222222"/>
          <w:sz w:val="22"/>
        </w:rPr>
        <w:t>Quyền con người/công dân.</w:t>
      </w:r>
    </w:p>
    <w:p>
      <w:pPr>
        <w:pStyle w:val="ListNumber"/>
        <w:spacing w:after="60"/>
      </w:pPr>
      <w:r>
        <w:rPr>
          <w:rFonts w:ascii="Arial" w:hAnsi="Arial" w:eastAsia="Arial"/>
          <w:color w:val="222222"/>
          <w:sz w:val="22"/>
        </w:rPr>
        <w:t>Kinh tế–xã hội.</w:t>
      </w:r>
    </w:p>
    <w:p>
      <w:pPr>
        <w:pStyle w:val="ListNumber"/>
        <w:spacing w:after="60"/>
      </w:pPr>
      <w:r>
        <w:rPr>
          <w:rFonts w:ascii="Arial" w:hAnsi="Arial" w:eastAsia="Arial"/>
          <w:color w:val="222222"/>
          <w:sz w:val="22"/>
        </w:rPr>
        <w:t>Bộ máy nhà nước.</w:t>
      </w:r>
    </w:p>
    <w:p>
      <w:pPr>
        <w:pStyle w:val="ListNumber"/>
        <w:spacing w:after="60"/>
      </w:pPr>
      <w:r>
        <w:rPr>
          <w:rFonts w:ascii="Arial" w:hAnsi="Arial" w:eastAsia="Arial"/>
          <w:color w:val="222222"/>
          <w:sz w:val="22"/>
        </w:rPr>
        <w:t>Bảo vệ Tổ quốc.</w:t>
      </w:r>
    </w:p>
    <w:p>
      <w:pPr>
        <w:pStyle w:val="ListNumber"/>
        <w:spacing w:after="60"/>
      </w:pPr>
      <w:r>
        <w:rPr>
          <w:rFonts w:ascii="Arial" w:hAnsi="Arial" w:eastAsia="Arial"/>
          <w:color w:val="222222"/>
          <w:sz w:val="22"/>
        </w:rPr>
        <w:t>Sửa đổi 2025 và kết luận.</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luật cơ bản; hiệu lực cao nhất; quyền con người; tổ chức bộ máy; kiểm soát quyền lực; sửa đổi 2025; chính quyền hai cấp</w:t>
            </w:r>
          </w:p>
        </w:tc>
      </w:tr>
    </w:tbl>
    <w:p>
      <w:pPr>
        <w:spacing w:after="0"/>
      </w:pPr>
    </w:p>
    <w:p>
      <w:r>
        <w:br w:type="page"/>
      </w:r>
    </w:p>
    <w:p>
      <w:pPr>
        <w:pStyle w:val="Heading1"/>
      </w:pPr>
      <w:r>
        <w:t>PHẦN II. BẢNG GHI NHỚ NHANH</w:t>
      </w:r>
    </w:p>
    <w:p>
      <w:pPr>
        <w:pStyle w:val="Heading2"/>
      </w:pPr>
      <w:r>
        <w:t>1. Phân biệt quy phạm pháp luật – điều luật – văn bản QPPL</w:t>
      </w:r>
    </w:p>
    <w:tbl>
      <w:tblPr>
        <w:tblStyle w:val="TableGrid"/>
        <w:tblW w:type="dxa" w:w="9648"/>
        <w:jc w:val="center"/>
        <w:tblLayout w:type="fixed"/>
        <w:tblLook w:firstColumn="1" w:firstRow="1" w:lastColumn="0" w:lastRow="0" w:noHBand="0" w:noVBand="1" w:val="04A0"/>
        <w:tblInd w:w="120" w:type="dxa"/>
      </w:tblPr>
      <w:tblGrid>
        <w:gridCol w:w="1512"/>
        <w:gridCol w:w="2664"/>
        <w:gridCol w:w="2664"/>
        <w:gridCol w:w="2808"/>
      </w:tblGrid>
      <w:tr>
        <w:trPr>
          <w:tblHeader w:val="true"/>
        </w:trPr>
        <w:tc>
          <w:tcPr>
            <w:tcW w:type="dxa" w:w="1512"/>
            <w:shd w:fill="1F4E79"/>
            <w:tcMar>
              <w:top w:w="100" w:type="dxa"/>
              <w:start w:w="120" w:type="dxa"/>
              <w:bottom w:w="100" w:type="dxa"/>
              <w:end w:w="120" w:type="dxa"/>
            </w:tcMar>
          </w:tcPr>
          <w:p>
            <w:r>
              <w:rPr>
                <w:rFonts w:ascii="Arial" w:hAnsi="Arial" w:eastAsia="Arial"/>
                <w:b/>
                <w:color w:val="FFFFFF"/>
                <w:sz w:val="18"/>
              </w:rPr>
              <w:t>Tiêu chí</w:t>
            </w:r>
          </w:p>
        </w:tc>
        <w:tc>
          <w:tcPr>
            <w:tcW w:type="dxa" w:w="2664"/>
            <w:shd w:fill="1F4E79"/>
            <w:tcMar>
              <w:top w:w="100" w:type="dxa"/>
              <w:start w:w="120" w:type="dxa"/>
              <w:bottom w:w="100" w:type="dxa"/>
              <w:end w:w="120" w:type="dxa"/>
            </w:tcMar>
          </w:tcPr>
          <w:p>
            <w:r>
              <w:rPr>
                <w:rFonts w:ascii="Arial" w:hAnsi="Arial" w:eastAsia="Arial"/>
                <w:b/>
                <w:color w:val="FFFFFF"/>
                <w:sz w:val="18"/>
              </w:rPr>
              <w:t>Quy phạm pháp luật</w:t>
            </w:r>
          </w:p>
        </w:tc>
        <w:tc>
          <w:tcPr>
            <w:tcW w:type="dxa" w:w="2664"/>
            <w:shd w:fill="1F4E79"/>
            <w:tcMar>
              <w:top w:w="100" w:type="dxa"/>
              <w:start w:w="120" w:type="dxa"/>
              <w:bottom w:w="100" w:type="dxa"/>
              <w:end w:w="120" w:type="dxa"/>
            </w:tcMar>
          </w:tcPr>
          <w:p>
            <w:r>
              <w:rPr>
                <w:rFonts w:ascii="Arial" w:hAnsi="Arial" w:eastAsia="Arial"/>
                <w:b/>
                <w:color w:val="FFFFFF"/>
                <w:sz w:val="18"/>
              </w:rPr>
              <w:t>Điều luật</w:t>
            </w:r>
          </w:p>
        </w:tc>
        <w:tc>
          <w:tcPr>
            <w:tcW w:type="dxa" w:w="2808"/>
            <w:shd w:fill="1F4E79"/>
            <w:tcMar>
              <w:top w:w="100" w:type="dxa"/>
              <w:start w:w="120" w:type="dxa"/>
              <w:bottom w:w="100" w:type="dxa"/>
              <w:end w:w="120" w:type="dxa"/>
            </w:tcMar>
          </w:tcPr>
          <w:p>
            <w:r>
              <w:rPr>
                <w:rFonts w:ascii="Arial" w:hAnsi="Arial" w:eastAsia="Arial"/>
                <w:b/>
                <w:color w:val="FFFFFF"/>
                <w:sz w:val="18"/>
              </w:rPr>
              <w:t>Văn bản QPPL</w:t>
            </w:r>
          </w:p>
        </w:tc>
      </w:tr>
      <w:tr>
        <w:tc>
          <w:tcPr>
            <w:tcW w:type="dxa" w:w="1512"/>
            <w:tcMar>
              <w:top w:w="100" w:type="dxa"/>
              <w:start w:w="120" w:type="dxa"/>
              <w:bottom w:w="100" w:type="dxa"/>
              <w:end w:w="120" w:type="dxa"/>
            </w:tcMar>
          </w:tcPr>
          <w:p>
            <w:r>
              <w:rPr>
                <w:rFonts w:ascii="Arial" w:hAnsi="Arial" w:eastAsia="Arial"/>
                <w:color w:val="222222"/>
                <w:sz w:val="18"/>
              </w:rPr>
              <w:t>Bản chất</w:t>
            </w:r>
          </w:p>
        </w:tc>
        <w:tc>
          <w:tcPr>
            <w:tcW w:type="dxa" w:w="2664"/>
            <w:tcMar>
              <w:top w:w="100" w:type="dxa"/>
              <w:start w:w="120" w:type="dxa"/>
              <w:bottom w:w="100" w:type="dxa"/>
              <w:end w:w="120" w:type="dxa"/>
            </w:tcMar>
          </w:tcPr>
          <w:p>
            <w:r>
              <w:rPr>
                <w:rFonts w:ascii="Arial" w:hAnsi="Arial" w:eastAsia="Arial"/>
                <w:color w:val="222222"/>
                <w:sz w:val="18"/>
              </w:rPr>
              <w:t>Quy tắc xử sự chung</w:t>
            </w:r>
          </w:p>
        </w:tc>
        <w:tc>
          <w:tcPr>
            <w:tcW w:type="dxa" w:w="2664"/>
            <w:tcMar>
              <w:top w:w="100" w:type="dxa"/>
              <w:start w:w="120" w:type="dxa"/>
              <w:bottom w:w="100" w:type="dxa"/>
              <w:end w:w="120" w:type="dxa"/>
            </w:tcMar>
          </w:tcPr>
          <w:p>
            <w:r>
              <w:rPr>
                <w:rFonts w:ascii="Arial" w:hAnsi="Arial" w:eastAsia="Arial"/>
                <w:color w:val="222222"/>
                <w:sz w:val="18"/>
              </w:rPr>
              <w:t>Đơn vị trình bày trong văn bản</w:t>
            </w:r>
          </w:p>
        </w:tc>
        <w:tc>
          <w:tcPr>
            <w:tcW w:type="dxa" w:w="2808"/>
            <w:tcMar>
              <w:top w:w="100" w:type="dxa"/>
              <w:start w:w="120" w:type="dxa"/>
              <w:bottom w:w="100" w:type="dxa"/>
              <w:end w:w="120" w:type="dxa"/>
            </w:tcMar>
          </w:tcPr>
          <w:p>
            <w:r>
              <w:rPr>
                <w:rFonts w:ascii="Arial" w:hAnsi="Arial" w:eastAsia="Arial"/>
                <w:color w:val="222222"/>
                <w:sz w:val="18"/>
              </w:rPr>
              <w:t>Văn bản chứa quy phạm</w:t>
            </w:r>
          </w:p>
        </w:tc>
      </w:tr>
      <w:tr>
        <w:tc>
          <w:tcPr>
            <w:tcW w:type="dxa" w:w="1512"/>
            <w:tcMar>
              <w:top w:w="100" w:type="dxa"/>
              <w:start w:w="120" w:type="dxa"/>
              <w:bottom w:w="100" w:type="dxa"/>
              <w:end w:w="120" w:type="dxa"/>
            </w:tcMar>
          </w:tcPr>
          <w:p>
            <w:r>
              <w:rPr>
                <w:rFonts w:ascii="Arial" w:hAnsi="Arial" w:eastAsia="Arial"/>
                <w:color w:val="222222"/>
                <w:sz w:val="18"/>
              </w:rPr>
              <w:t>Quan hệ</w:t>
            </w:r>
          </w:p>
        </w:tc>
        <w:tc>
          <w:tcPr>
            <w:tcW w:type="dxa" w:w="2664"/>
            <w:tcMar>
              <w:top w:w="100" w:type="dxa"/>
              <w:start w:w="120" w:type="dxa"/>
              <w:bottom w:w="100" w:type="dxa"/>
              <w:end w:w="120" w:type="dxa"/>
            </w:tcMar>
          </w:tcPr>
          <w:p>
            <w:r>
              <w:rPr>
                <w:rFonts w:ascii="Arial" w:hAnsi="Arial" w:eastAsia="Arial"/>
                <w:color w:val="222222"/>
                <w:sz w:val="18"/>
              </w:rPr>
              <w:t>Có thể nằm ở nhiều điều</w:t>
            </w:r>
          </w:p>
        </w:tc>
        <w:tc>
          <w:tcPr>
            <w:tcW w:type="dxa" w:w="2664"/>
            <w:tcMar>
              <w:top w:w="100" w:type="dxa"/>
              <w:start w:w="120" w:type="dxa"/>
              <w:bottom w:w="100" w:type="dxa"/>
              <w:end w:w="120" w:type="dxa"/>
            </w:tcMar>
          </w:tcPr>
          <w:p>
            <w:r>
              <w:rPr>
                <w:rFonts w:ascii="Arial" w:hAnsi="Arial" w:eastAsia="Arial"/>
                <w:color w:val="222222"/>
                <w:sz w:val="18"/>
              </w:rPr>
              <w:t>Có thể chứa một hoặc nhiều quy phạm</w:t>
            </w:r>
          </w:p>
        </w:tc>
        <w:tc>
          <w:tcPr>
            <w:tcW w:type="dxa" w:w="2808"/>
            <w:tcMar>
              <w:top w:w="100" w:type="dxa"/>
              <w:start w:w="120" w:type="dxa"/>
              <w:bottom w:w="100" w:type="dxa"/>
              <w:end w:w="120" w:type="dxa"/>
            </w:tcMar>
          </w:tcPr>
          <w:p>
            <w:r>
              <w:rPr>
                <w:rFonts w:ascii="Arial" w:hAnsi="Arial" w:eastAsia="Arial"/>
                <w:color w:val="222222"/>
                <w:sz w:val="18"/>
              </w:rPr>
              <w:t>Gồm nhiều điều, chương</w:t>
            </w:r>
          </w:p>
        </w:tc>
      </w:tr>
      <w:tr>
        <w:tc>
          <w:tcPr>
            <w:tcW w:type="dxa" w:w="1512"/>
            <w:tcMar>
              <w:top w:w="100" w:type="dxa"/>
              <w:start w:w="120" w:type="dxa"/>
              <w:bottom w:w="100" w:type="dxa"/>
              <w:end w:w="120" w:type="dxa"/>
            </w:tcMar>
          </w:tcPr>
          <w:p>
            <w:r>
              <w:rPr>
                <w:rFonts w:ascii="Arial" w:hAnsi="Arial" w:eastAsia="Arial"/>
                <w:color w:val="222222"/>
                <w:sz w:val="18"/>
              </w:rPr>
              <w:t>Ví dụ</w:t>
            </w:r>
          </w:p>
        </w:tc>
        <w:tc>
          <w:tcPr>
            <w:tcW w:type="dxa" w:w="2664"/>
            <w:tcMar>
              <w:top w:w="100" w:type="dxa"/>
              <w:start w:w="120" w:type="dxa"/>
              <w:bottom w:w="100" w:type="dxa"/>
              <w:end w:w="120" w:type="dxa"/>
            </w:tcMar>
          </w:tcPr>
          <w:p>
            <w:r>
              <w:rPr>
                <w:rFonts w:ascii="Arial" w:hAnsi="Arial" w:eastAsia="Arial"/>
                <w:color w:val="222222"/>
                <w:sz w:val="18"/>
              </w:rPr>
              <w:t>Cấm chiếm đoạt tài sản</w:t>
            </w:r>
          </w:p>
        </w:tc>
        <w:tc>
          <w:tcPr>
            <w:tcW w:type="dxa" w:w="2664"/>
            <w:tcMar>
              <w:top w:w="100" w:type="dxa"/>
              <w:start w:w="120" w:type="dxa"/>
              <w:bottom w:w="100" w:type="dxa"/>
              <w:end w:w="120" w:type="dxa"/>
            </w:tcMar>
          </w:tcPr>
          <w:p>
            <w:r>
              <w:rPr>
                <w:rFonts w:ascii="Arial" w:hAnsi="Arial" w:eastAsia="Arial"/>
                <w:color w:val="222222"/>
                <w:sz w:val="18"/>
              </w:rPr>
              <w:t>Một điều quy định tội danh</w:t>
            </w:r>
          </w:p>
        </w:tc>
        <w:tc>
          <w:tcPr>
            <w:tcW w:type="dxa" w:w="2808"/>
            <w:tcMar>
              <w:top w:w="100" w:type="dxa"/>
              <w:start w:w="120" w:type="dxa"/>
              <w:bottom w:w="100" w:type="dxa"/>
              <w:end w:w="120" w:type="dxa"/>
            </w:tcMar>
          </w:tcPr>
          <w:p>
            <w:r>
              <w:rPr>
                <w:rFonts w:ascii="Arial" w:hAnsi="Arial" w:eastAsia="Arial"/>
                <w:color w:val="222222"/>
                <w:sz w:val="18"/>
              </w:rPr>
              <w:t>Bộ luật, luật, nghị định…</w:t>
            </w:r>
          </w:p>
        </w:tc>
      </w:tr>
    </w:tbl>
    <w:p>
      <w:pPr>
        <w:pStyle w:val="Heading2"/>
      </w:pPr>
      <w:r>
        <w:t>2. Phân biệt các loại vi phạm pháp luật</w:t>
      </w:r>
    </w:p>
    <w:tbl>
      <w:tblPr>
        <w:tblStyle w:val="TableGrid"/>
        <w:tblW w:type="dxa" w:w="9648"/>
        <w:tblLayout w:type="fixed"/>
        <w:tblLook w:firstColumn="1" w:firstRow="1" w:lastColumn="0" w:lastRow="0" w:noHBand="0" w:noVBand="1" w:val="04A0"/>
        <w:tblInd w:w="120" w:type="dxa"/>
      </w:tblPr>
      <w:tblGrid>
        <w:gridCol w:w="1080"/>
        <w:gridCol w:w="2232"/>
        <w:gridCol w:w="2232"/>
        <w:gridCol w:w="1944"/>
        <w:gridCol w:w="2160"/>
      </w:tblGrid>
      <w:tr>
        <w:trPr>
          <w:tblHeader w:val="true"/>
        </w:trPr>
        <w:tc>
          <w:tcPr>
            <w:tcW w:type="dxa" w:w="1080"/>
            <w:shd w:fill="1F4E79"/>
            <w:tcMar>
              <w:top w:w="100" w:type="dxa"/>
              <w:start w:w="120" w:type="dxa"/>
              <w:bottom w:w="100" w:type="dxa"/>
              <w:end w:w="120" w:type="dxa"/>
            </w:tcMar>
          </w:tcPr>
          <w:p>
            <w:r>
              <w:rPr>
                <w:rFonts w:ascii="Arial" w:hAnsi="Arial" w:eastAsia="Arial"/>
                <w:b/>
                <w:color w:val="FFFFFF"/>
                <w:sz w:val="17"/>
              </w:rPr>
              <w:t>Loại</w:t>
            </w:r>
          </w:p>
        </w:tc>
        <w:tc>
          <w:tcPr>
            <w:tcW w:type="dxa" w:w="2232"/>
            <w:shd w:fill="1F4E79"/>
            <w:tcMar>
              <w:top w:w="100" w:type="dxa"/>
              <w:start w:w="120" w:type="dxa"/>
              <w:bottom w:w="100" w:type="dxa"/>
              <w:end w:w="120" w:type="dxa"/>
            </w:tcMar>
          </w:tcPr>
          <w:p>
            <w:r>
              <w:rPr>
                <w:rFonts w:ascii="Arial" w:hAnsi="Arial" w:eastAsia="Arial"/>
                <w:b/>
                <w:color w:val="FFFFFF"/>
                <w:sz w:val="17"/>
              </w:rPr>
              <w:t>Quan hệ bị xâm hại</w:t>
            </w:r>
          </w:p>
        </w:tc>
        <w:tc>
          <w:tcPr>
            <w:tcW w:type="dxa" w:w="2232"/>
            <w:shd w:fill="1F4E79"/>
            <w:tcMar>
              <w:top w:w="100" w:type="dxa"/>
              <w:start w:w="120" w:type="dxa"/>
              <w:bottom w:w="100" w:type="dxa"/>
              <w:end w:w="120" w:type="dxa"/>
            </w:tcMar>
          </w:tcPr>
          <w:p>
            <w:r>
              <w:rPr>
                <w:rFonts w:ascii="Arial" w:hAnsi="Arial" w:eastAsia="Arial"/>
                <w:b/>
                <w:color w:val="FFFFFF"/>
                <w:sz w:val="17"/>
              </w:rPr>
              <w:t>Căn cứ chính</w:t>
            </w:r>
          </w:p>
        </w:tc>
        <w:tc>
          <w:tcPr>
            <w:tcW w:type="dxa" w:w="1944"/>
            <w:shd w:fill="1F4E79"/>
            <w:tcMar>
              <w:top w:w="100" w:type="dxa"/>
              <w:start w:w="120" w:type="dxa"/>
              <w:bottom w:w="100" w:type="dxa"/>
              <w:end w:w="120" w:type="dxa"/>
            </w:tcMar>
          </w:tcPr>
          <w:p>
            <w:r>
              <w:rPr>
                <w:rFonts w:ascii="Arial" w:hAnsi="Arial" w:eastAsia="Arial"/>
                <w:b/>
                <w:color w:val="FFFFFF"/>
                <w:sz w:val="17"/>
              </w:rPr>
              <w:t>Chủ thể xử lý</w:t>
            </w:r>
          </w:p>
        </w:tc>
        <w:tc>
          <w:tcPr>
            <w:tcW w:type="dxa" w:w="2160"/>
            <w:shd w:fill="1F4E79"/>
            <w:tcMar>
              <w:top w:w="100" w:type="dxa"/>
              <w:start w:w="120" w:type="dxa"/>
              <w:bottom w:w="100" w:type="dxa"/>
              <w:end w:w="120" w:type="dxa"/>
            </w:tcMar>
          </w:tcPr>
          <w:p>
            <w:r>
              <w:rPr>
                <w:rFonts w:ascii="Arial" w:hAnsi="Arial" w:eastAsia="Arial"/>
                <w:b/>
                <w:color w:val="FFFFFF"/>
                <w:sz w:val="17"/>
              </w:rPr>
              <w:t>Hậu quả điển hình</w:t>
            </w:r>
          </w:p>
        </w:tc>
      </w:tr>
      <w:tr>
        <w:tc>
          <w:tcPr>
            <w:tcW w:type="dxa" w:w="1080"/>
            <w:tcMar>
              <w:top w:w="100" w:type="dxa"/>
              <w:start w:w="120" w:type="dxa"/>
              <w:bottom w:w="100" w:type="dxa"/>
              <w:end w:w="120" w:type="dxa"/>
            </w:tcMar>
          </w:tcPr>
          <w:p>
            <w:r>
              <w:rPr>
                <w:rFonts w:ascii="Arial" w:hAnsi="Arial" w:eastAsia="Arial"/>
                <w:color w:val="222222"/>
                <w:sz w:val="17"/>
              </w:rPr>
              <w:t>Hình sự</w:t>
            </w:r>
          </w:p>
        </w:tc>
        <w:tc>
          <w:tcPr>
            <w:tcW w:type="dxa" w:w="2232"/>
            <w:tcMar>
              <w:top w:w="100" w:type="dxa"/>
              <w:start w:w="120" w:type="dxa"/>
              <w:bottom w:w="100" w:type="dxa"/>
              <w:end w:w="120" w:type="dxa"/>
            </w:tcMar>
          </w:tcPr>
          <w:p>
            <w:r>
              <w:rPr>
                <w:rFonts w:ascii="Arial" w:hAnsi="Arial" w:eastAsia="Arial"/>
                <w:color w:val="222222"/>
                <w:sz w:val="17"/>
              </w:rPr>
              <w:t>Quan hệ được BLHS bảo vệ</w:t>
            </w:r>
          </w:p>
        </w:tc>
        <w:tc>
          <w:tcPr>
            <w:tcW w:type="dxa" w:w="2232"/>
            <w:tcMar>
              <w:top w:w="100" w:type="dxa"/>
              <w:start w:w="120" w:type="dxa"/>
              <w:bottom w:w="100" w:type="dxa"/>
              <w:end w:w="120" w:type="dxa"/>
            </w:tcMar>
          </w:tcPr>
          <w:p>
            <w:r>
              <w:rPr>
                <w:rFonts w:ascii="Arial" w:hAnsi="Arial" w:eastAsia="Arial"/>
                <w:color w:val="222222"/>
                <w:sz w:val="17"/>
              </w:rPr>
              <w:t>Bộ luật Hình sự</w:t>
            </w:r>
          </w:p>
        </w:tc>
        <w:tc>
          <w:tcPr>
            <w:tcW w:type="dxa" w:w="1944"/>
            <w:tcMar>
              <w:top w:w="100" w:type="dxa"/>
              <w:start w:w="120" w:type="dxa"/>
              <w:bottom w:w="100" w:type="dxa"/>
              <w:end w:w="120" w:type="dxa"/>
            </w:tcMar>
          </w:tcPr>
          <w:p>
            <w:r>
              <w:rPr>
                <w:rFonts w:ascii="Arial" w:hAnsi="Arial" w:eastAsia="Arial"/>
                <w:color w:val="222222"/>
                <w:sz w:val="17"/>
              </w:rPr>
              <w:t>Tòa án</w:t>
            </w:r>
          </w:p>
        </w:tc>
        <w:tc>
          <w:tcPr>
            <w:tcW w:type="dxa" w:w="2160"/>
            <w:tcMar>
              <w:top w:w="100" w:type="dxa"/>
              <w:start w:w="120" w:type="dxa"/>
              <w:bottom w:w="100" w:type="dxa"/>
              <w:end w:w="120" w:type="dxa"/>
            </w:tcMar>
          </w:tcPr>
          <w:p>
            <w:r>
              <w:rPr>
                <w:rFonts w:ascii="Arial" w:hAnsi="Arial" w:eastAsia="Arial"/>
                <w:color w:val="222222"/>
                <w:sz w:val="17"/>
              </w:rPr>
              <w:t>Hình phạt, biện pháp tư pháp</w:t>
            </w:r>
          </w:p>
        </w:tc>
      </w:tr>
      <w:tr>
        <w:tc>
          <w:tcPr>
            <w:tcW w:type="dxa" w:w="1080"/>
            <w:tcMar>
              <w:top w:w="100" w:type="dxa"/>
              <w:start w:w="120" w:type="dxa"/>
              <w:bottom w:w="100" w:type="dxa"/>
              <w:end w:w="120" w:type="dxa"/>
            </w:tcMar>
          </w:tcPr>
          <w:p>
            <w:r>
              <w:rPr>
                <w:rFonts w:ascii="Arial" w:hAnsi="Arial" w:eastAsia="Arial"/>
                <w:color w:val="222222"/>
                <w:sz w:val="17"/>
              </w:rPr>
              <w:t>Hành chính</w:t>
            </w:r>
          </w:p>
        </w:tc>
        <w:tc>
          <w:tcPr>
            <w:tcW w:type="dxa" w:w="2232"/>
            <w:tcMar>
              <w:top w:w="100" w:type="dxa"/>
              <w:start w:w="120" w:type="dxa"/>
              <w:bottom w:w="100" w:type="dxa"/>
              <w:end w:w="120" w:type="dxa"/>
            </w:tcMar>
          </w:tcPr>
          <w:p>
            <w:r>
              <w:rPr>
                <w:rFonts w:ascii="Arial" w:hAnsi="Arial" w:eastAsia="Arial"/>
                <w:color w:val="222222"/>
                <w:sz w:val="17"/>
              </w:rPr>
              <w:t>Trật tự quản lý nhà nước</w:t>
            </w:r>
          </w:p>
        </w:tc>
        <w:tc>
          <w:tcPr>
            <w:tcW w:type="dxa" w:w="2232"/>
            <w:tcMar>
              <w:top w:w="100" w:type="dxa"/>
              <w:start w:w="120" w:type="dxa"/>
              <w:bottom w:w="100" w:type="dxa"/>
              <w:end w:w="120" w:type="dxa"/>
            </w:tcMar>
          </w:tcPr>
          <w:p>
            <w:r>
              <w:rPr>
                <w:rFonts w:ascii="Arial" w:hAnsi="Arial" w:eastAsia="Arial"/>
                <w:color w:val="222222"/>
                <w:sz w:val="17"/>
              </w:rPr>
              <w:t>Luật XLVPHC và luật chuyên ngành</w:t>
            </w:r>
          </w:p>
        </w:tc>
        <w:tc>
          <w:tcPr>
            <w:tcW w:type="dxa" w:w="1944"/>
            <w:tcMar>
              <w:top w:w="100" w:type="dxa"/>
              <w:start w:w="120" w:type="dxa"/>
              <w:bottom w:w="100" w:type="dxa"/>
              <w:end w:w="120" w:type="dxa"/>
            </w:tcMar>
          </w:tcPr>
          <w:p>
            <w:r>
              <w:rPr>
                <w:rFonts w:ascii="Arial" w:hAnsi="Arial" w:eastAsia="Arial"/>
                <w:color w:val="222222"/>
                <w:sz w:val="17"/>
              </w:rPr>
              <w:t>Người/cơ quan có thẩm quyền</w:t>
            </w:r>
          </w:p>
        </w:tc>
        <w:tc>
          <w:tcPr>
            <w:tcW w:type="dxa" w:w="2160"/>
            <w:tcMar>
              <w:top w:w="100" w:type="dxa"/>
              <w:start w:w="120" w:type="dxa"/>
              <w:bottom w:w="100" w:type="dxa"/>
              <w:end w:w="120" w:type="dxa"/>
            </w:tcMar>
          </w:tcPr>
          <w:p>
            <w:r>
              <w:rPr>
                <w:rFonts w:ascii="Arial" w:hAnsi="Arial" w:eastAsia="Arial"/>
                <w:color w:val="222222"/>
                <w:sz w:val="17"/>
              </w:rPr>
              <w:t>Cảnh cáo, phạt tiền, biện pháp khắc phục</w:t>
            </w:r>
          </w:p>
        </w:tc>
      </w:tr>
      <w:tr>
        <w:tc>
          <w:tcPr>
            <w:tcW w:type="dxa" w:w="1080"/>
            <w:tcMar>
              <w:top w:w="100" w:type="dxa"/>
              <w:start w:w="120" w:type="dxa"/>
              <w:bottom w:w="100" w:type="dxa"/>
              <w:end w:w="120" w:type="dxa"/>
            </w:tcMar>
          </w:tcPr>
          <w:p>
            <w:r>
              <w:rPr>
                <w:rFonts w:ascii="Arial" w:hAnsi="Arial" w:eastAsia="Arial"/>
                <w:color w:val="222222"/>
                <w:sz w:val="17"/>
              </w:rPr>
              <w:t>Dân sự</w:t>
            </w:r>
          </w:p>
        </w:tc>
        <w:tc>
          <w:tcPr>
            <w:tcW w:type="dxa" w:w="2232"/>
            <w:tcMar>
              <w:top w:w="100" w:type="dxa"/>
              <w:start w:w="120" w:type="dxa"/>
              <w:bottom w:w="100" w:type="dxa"/>
              <w:end w:w="120" w:type="dxa"/>
            </w:tcMar>
          </w:tcPr>
          <w:p>
            <w:r>
              <w:rPr>
                <w:rFonts w:ascii="Arial" w:hAnsi="Arial" w:eastAsia="Arial"/>
                <w:color w:val="222222"/>
                <w:sz w:val="17"/>
              </w:rPr>
              <w:t>Tài sản, nhân thân</w:t>
            </w:r>
          </w:p>
        </w:tc>
        <w:tc>
          <w:tcPr>
            <w:tcW w:type="dxa" w:w="2232"/>
            <w:tcMar>
              <w:top w:w="100" w:type="dxa"/>
              <w:start w:w="120" w:type="dxa"/>
              <w:bottom w:w="100" w:type="dxa"/>
              <w:end w:w="120" w:type="dxa"/>
            </w:tcMar>
          </w:tcPr>
          <w:p>
            <w:r>
              <w:rPr>
                <w:rFonts w:ascii="Arial" w:hAnsi="Arial" w:eastAsia="Arial"/>
                <w:color w:val="222222"/>
                <w:sz w:val="17"/>
              </w:rPr>
              <w:t>BLDS, hợp đồng</w:t>
            </w:r>
          </w:p>
        </w:tc>
        <w:tc>
          <w:tcPr>
            <w:tcW w:type="dxa" w:w="1944"/>
            <w:tcMar>
              <w:top w:w="100" w:type="dxa"/>
              <w:start w:w="120" w:type="dxa"/>
              <w:bottom w:w="100" w:type="dxa"/>
              <w:end w:w="120" w:type="dxa"/>
            </w:tcMar>
          </w:tcPr>
          <w:p>
            <w:r>
              <w:rPr>
                <w:rFonts w:ascii="Arial" w:hAnsi="Arial" w:eastAsia="Arial"/>
                <w:color w:val="222222"/>
                <w:sz w:val="17"/>
              </w:rPr>
              <w:t>Tòa án/trọng tài</w:t>
            </w:r>
          </w:p>
        </w:tc>
        <w:tc>
          <w:tcPr>
            <w:tcW w:type="dxa" w:w="2160"/>
            <w:tcMar>
              <w:top w:w="100" w:type="dxa"/>
              <w:start w:w="120" w:type="dxa"/>
              <w:bottom w:w="100" w:type="dxa"/>
              <w:end w:w="120" w:type="dxa"/>
            </w:tcMar>
          </w:tcPr>
          <w:p>
            <w:r>
              <w:rPr>
                <w:rFonts w:ascii="Arial" w:hAnsi="Arial" w:eastAsia="Arial"/>
                <w:color w:val="222222"/>
                <w:sz w:val="17"/>
              </w:rPr>
              <w:t>Bồi thường, buộc thực hiện nghĩa vụ</w:t>
            </w:r>
          </w:p>
        </w:tc>
      </w:tr>
      <w:tr>
        <w:tc>
          <w:tcPr>
            <w:tcW w:type="dxa" w:w="1080"/>
            <w:tcMar>
              <w:top w:w="100" w:type="dxa"/>
              <w:start w:w="120" w:type="dxa"/>
              <w:bottom w:w="100" w:type="dxa"/>
              <w:end w:w="120" w:type="dxa"/>
            </w:tcMar>
          </w:tcPr>
          <w:p>
            <w:r>
              <w:rPr>
                <w:rFonts w:ascii="Arial" w:hAnsi="Arial" w:eastAsia="Arial"/>
                <w:color w:val="222222"/>
                <w:sz w:val="17"/>
              </w:rPr>
              <w:t>Kỷ luật</w:t>
            </w:r>
          </w:p>
        </w:tc>
        <w:tc>
          <w:tcPr>
            <w:tcW w:type="dxa" w:w="2232"/>
            <w:tcMar>
              <w:top w:w="100" w:type="dxa"/>
              <w:start w:w="120" w:type="dxa"/>
              <w:bottom w:w="100" w:type="dxa"/>
              <w:end w:w="120" w:type="dxa"/>
            </w:tcMar>
          </w:tcPr>
          <w:p>
            <w:r>
              <w:rPr>
                <w:rFonts w:ascii="Arial" w:hAnsi="Arial" w:eastAsia="Arial"/>
                <w:color w:val="222222"/>
                <w:sz w:val="17"/>
              </w:rPr>
              <w:t>Trật tự nội bộ</w:t>
            </w:r>
          </w:p>
        </w:tc>
        <w:tc>
          <w:tcPr>
            <w:tcW w:type="dxa" w:w="2232"/>
            <w:tcMar>
              <w:top w:w="100" w:type="dxa"/>
              <w:start w:w="120" w:type="dxa"/>
              <w:bottom w:w="100" w:type="dxa"/>
              <w:end w:w="120" w:type="dxa"/>
            </w:tcMar>
          </w:tcPr>
          <w:p>
            <w:r>
              <w:rPr>
                <w:rFonts w:ascii="Arial" w:hAnsi="Arial" w:eastAsia="Arial"/>
                <w:color w:val="222222"/>
                <w:sz w:val="17"/>
              </w:rPr>
              <w:t>Nội quy, luật công vụ/lao động</w:t>
            </w:r>
          </w:p>
        </w:tc>
        <w:tc>
          <w:tcPr>
            <w:tcW w:type="dxa" w:w="1944"/>
            <w:tcMar>
              <w:top w:w="100" w:type="dxa"/>
              <w:start w:w="120" w:type="dxa"/>
              <w:bottom w:w="100" w:type="dxa"/>
              <w:end w:w="120" w:type="dxa"/>
            </w:tcMar>
          </w:tcPr>
          <w:p>
            <w:r>
              <w:rPr>
                <w:rFonts w:ascii="Arial" w:hAnsi="Arial" w:eastAsia="Arial"/>
                <w:color w:val="222222"/>
                <w:sz w:val="17"/>
              </w:rPr>
              <w:t>Người sử dụng lao động/cơ quan</w:t>
            </w:r>
          </w:p>
        </w:tc>
        <w:tc>
          <w:tcPr>
            <w:tcW w:type="dxa" w:w="2160"/>
            <w:tcMar>
              <w:top w:w="100" w:type="dxa"/>
              <w:start w:w="120" w:type="dxa"/>
              <w:bottom w:w="100" w:type="dxa"/>
              <w:end w:w="120" w:type="dxa"/>
            </w:tcMar>
          </w:tcPr>
          <w:p>
            <w:r>
              <w:rPr>
                <w:rFonts w:ascii="Arial" w:hAnsi="Arial" w:eastAsia="Arial"/>
                <w:color w:val="222222"/>
                <w:sz w:val="17"/>
              </w:rPr>
              <w:t>Khiển trách, kéo dài nâng lương, sa thải…</w:t>
            </w:r>
          </w:p>
        </w:tc>
      </w:tr>
    </w:tbl>
    <w:p>
      <w:pPr>
        <w:pStyle w:val="Heading2"/>
      </w:pPr>
      <w:r>
        <w:t>3. Công thức giải bài tình huống</w:t>
      </w:r>
    </w:p>
    <w:p>
      <w:pPr>
        <w:pStyle w:val="ListNumber"/>
        <w:spacing w:after="60"/>
      </w:pPr>
      <w:r>
        <w:rPr>
          <w:rFonts w:ascii="Arial" w:hAnsi="Arial" w:eastAsia="Arial"/>
          <w:color w:val="222222"/>
          <w:sz w:val="22"/>
        </w:rPr>
        <w:t>Tóm tắt đúng dữ kiện pháp lý; xác định câu hỏi đề bài.</w:t>
      </w:r>
    </w:p>
    <w:p>
      <w:pPr>
        <w:pStyle w:val="ListNumber"/>
        <w:spacing w:after="60"/>
      </w:pPr>
      <w:r>
        <w:rPr>
          <w:rFonts w:ascii="Arial" w:hAnsi="Arial" w:eastAsia="Arial"/>
          <w:color w:val="222222"/>
          <w:sz w:val="22"/>
        </w:rPr>
        <w:t>Xác định quan hệ pháp luật và ngành luật điều chỉnh.</w:t>
      </w:r>
    </w:p>
    <w:p>
      <w:pPr>
        <w:pStyle w:val="ListNumber"/>
        <w:spacing w:after="60"/>
      </w:pPr>
      <w:r>
        <w:rPr>
          <w:rFonts w:ascii="Arial" w:hAnsi="Arial" w:eastAsia="Arial"/>
          <w:color w:val="222222"/>
          <w:sz w:val="22"/>
        </w:rPr>
        <w:t>Nêu quy tắc/căn cứ pháp lý cần áp dụng.</w:t>
      </w:r>
    </w:p>
    <w:p>
      <w:pPr>
        <w:pStyle w:val="ListNumber"/>
        <w:spacing w:after="60"/>
      </w:pPr>
      <w:r>
        <w:rPr>
          <w:rFonts w:ascii="Arial" w:hAnsi="Arial" w:eastAsia="Arial"/>
          <w:color w:val="222222"/>
          <w:sz w:val="22"/>
        </w:rPr>
        <w:t>Đối chiếu từng dấu hiệu với dữ kiện; không bỏ qua lỗi, năng lực chủ thể và quan hệ nhân quả.</w:t>
      </w:r>
    </w:p>
    <w:p>
      <w:pPr>
        <w:pStyle w:val="ListNumber"/>
        <w:spacing w:after="60"/>
      </w:pPr>
      <w:r>
        <w:rPr>
          <w:rFonts w:ascii="Arial" w:hAnsi="Arial" w:eastAsia="Arial"/>
          <w:color w:val="222222"/>
          <w:sz w:val="22"/>
        </w:rPr>
        <w:t>Nêu dữ kiện còn thiếu hoặc các trường hợp cần phân nhánh.</w:t>
      </w:r>
    </w:p>
    <w:p>
      <w:pPr>
        <w:pStyle w:val="ListNumber"/>
        <w:spacing w:after="60"/>
      </w:pPr>
      <w:r>
        <w:rPr>
          <w:rFonts w:ascii="Arial" w:hAnsi="Arial" w:eastAsia="Arial"/>
          <w:color w:val="222222"/>
          <w:sz w:val="22"/>
        </w:rPr>
        <w:t>Kết luận ngắn, rõ, không tuyệt đối hóa khi chưa đủ chứng cứ.</w:t>
      </w:r>
    </w:p>
    <w:p>
      <w:pPr>
        <w:pStyle w:val="Heading2"/>
      </w:pPr>
      <w:r>
        <w:t>4. Nhận diện nhanh các tội chiếm đoạt</w:t>
      </w:r>
    </w:p>
    <w:tbl>
      <w:tblPr>
        <w:tblStyle w:val="TableGrid"/>
        <w:tblW w:type="dxa" w:w="9648"/>
        <w:tblLayout w:type="fixed"/>
        <w:tblLook w:firstColumn="1" w:firstRow="1" w:lastColumn="0" w:lastRow="0" w:noHBand="0" w:noVBand="1" w:val="04A0"/>
        <w:tblInd w:w="120" w:type="dxa"/>
      </w:tblPr>
      <w:tblGrid>
        <w:gridCol w:w="1584"/>
        <w:gridCol w:w="5760"/>
        <w:gridCol w:w="2304"/>
      </w:tblGrid>
      <w:tr>
        <w:trPr>
          <w:tblHeader w:val="true"/>
        </w:trPr>
        <w:tc>
          <w:tcPr>
            <w:tcW w:type="dxa" w:w="1584"/>
            <w:shd w:fill="1F4E79"/>
            <w:tcMar>
              <w:top w:w="100" w:type="dxa"/>
              <w:start w:w="120" w:type="dxa"/>
              <w:bottom w:w="100" w:type="dxa"/>
              <w:end w:w="120" w:type="dxa"/>
            </w:tcMar>
          </w:tcPr>
          <w:p>
            <w:r>
              <w:rPr>
                <w:rFonts w:ascii="Arial" w:hAnsi="Arial" w:eastAsia="Arial"/>
                <w:b/>
                <w:color w:val="FFFFFF"/>
                <w:sz w:val="18"/>
              </w:rPr>
              <w:t>Tội danh</w:t>
            </w:r>
          </w:p>
        </w:tc>
        <w:tc>
          <w:tcPr>
            <w:tcW w:type="dxa" w:w="5760"/>
            <w:shd w:fill="1F4E79"/>
            <w:tcMar>
              <w:top w:w="100" w:type="dxa"/>
              <w:start w:w="120" w:type="dxa"/>
              <w:bottom w:w="100" w:type="dxa"/>
              <w:end w:w="120" w:type="dxa"/>
            </w:tcMar>
          </w:tcPr>
          <w:p>
            <w:r>
              <w:rPr>
                <w:rFonts w:ascii="Arial" w:hAnsi="Arial" w:eastAsia="Arial"/>
                <w:b/>
                <w:color w:val="FFFFFF"/>
                <w:sz w:val="18"/>
              </w:rPr>
              <w:t>Dấu hiệu nhận diện chính</w:t>
            </w:r>
          </w:p>
        </w:tc>
        <w:tc>
          <w:tcPr>
            <w:tcW w:type="dxa" w:w="2304"/>
            <w:shd w:fill="1F4E79"/>
            <w:tcMar>
              <w:top w:w="100" w:type="dxa"/>
              <w:start w:w="120" w:type="dxa"/>
              <w:bottom w:w="100" w:type="dxa"/>
              <w:end w:w="120" w:type="dxa"/>
            </w:tcMar>
          </w:tcPr>
          <w:p>
            <w:r>
              <w:rPr>
                <w:rFonts w:ascii="Arial" w:hAnsi="Arial" w:eastAsia="Arial"/>
                <w:b/>
                <w:color w:val="FFFFFF"/>
                <w:sz w:val="18"/>
              </w:rPr>
              <w:t>Thời điểm hình thành ý định chiếm đoạt</w:t>
            </w:r>
          </w:p>
        </w:tc>
      </w:tr>
      <w:tr>
        <w:tc>
          <w:tcPr>
            <w:tcW w:type="dxa" w:w="1584"/>
            <w:tcMar>
              <w:top w:w="100" w:type="dxa"/>
              <w:start w:w="120" w:type="dxa"/>
              <w:bottom w:w="100" w:type="dxa"/>
              <w:end w:w="120" w:type="dxa"/>
            </w:tcMar>
          </w:tcPr>
          <w:p>
            <w:r>
              <w:rPr>
                <w:rFonts w:ascii="Arial" w:hAnsi="Arial" w:eastAsia="Arial"/>
                <w:color w:val="222222"/>
                <w:sz w:val="17"/>
              </w:rPr>
              <w:t>Cướp</w:t>
            </w:r>
          </w:p>
        </w:tc>
        <w:tc>
          <w:tcPr>
            <w:tcW w:type="dxa" w:w="5760"/>
            <w:tcMar>
              <w:top w:w="100" w:type="dxa"/>
              <w:start w:w="120" w:type="dxa"/>
              <w:bottom w:w="100" w:type="dxa"/>
              <w:end w:w="120" w:type="dxa"/>
            </w:tcMar>
          </w:tcPr>
          <w:p>
            <w:r>
              <w:rPr>
                <w:rFonts w:ascii="Arial" w:hAnsi="Arial" w:eastAsia="Arial"/>
                <w:color w:val="222222"/>
                <w:sz w:val="17"/>
              </w:rPr>
              <w:t>Dùng/đe dọa dùng ngay tức khắc vũ lực hoặc thủ đoạn làm nạn nhân không thể chống cự</w:t>
            </w:r>
          </w:p>
        </w:tc>
        <w:tc>
          <w:tcPr>
            <w:tcW w:type="dxa" w:w="2304"/>
            <w:tcMar>
              <w:top w:w="100" w:type="dxa"/>
              <w:start w:w="120" w:type="dxa"/>
              <w:bottom w:w="100" w:type="dxa"/>
              <w:end w:w="120" w:type="dxa"/>
            </w:tcMar>
          </w:tcPr>
          <w:p>
            <w:r>
              <w:rPr>
                <w:rFonts w:ascii="Arial" w:hAnsi="Arial" w:eastAsia="Arial"/>
                <w:color w:val="222222"/>
                <w:sz w:val="17"/>
              </w:rPr>
              <w:t>Trước hoặc trong khi chiếm đoạt</w:t>
            </w:r>
          </w:p>
        </w:tc>
      </w:tr>
      <w:tr>
        <w:tc>
          <w:tcPr>
            <w:tcW w:type="dxa" w:w="1584"/>
            <w:tcMar>
              <w:top w:w="100" w:type="dxa"/>
              <w:start w:w="120" w:type="dxa"/>
              <w:bottom w:w="100" w:type="dxa"/>
              <w:end w:w="120" w:type="dxa"/>
            </w:tcMar>
          </w:tcPr>
          <w:p>
            <w:r>
              <w:rPr>
                <w:rFonts w:ascii="Arial" w:hAnsi="Arial" w:eastAsia="Arial"/>
                <w:color w:val="222222"/>
                <w:sz w:val="17"/>
              </w:rPr>
              <w:t>Cướp giật</w:t>
            </w:r>
          </w:p>
        </w:tc>
        <w:tc>
          <w:tcPr>
            <w:tcW w:type="dxa" w:w="5760"/>
            <w:tcMar>
              <w:top w:w="100" w:type="dxa"/>
              <w:start w:w="120" w:type="dxa"/>
              <w:bottom w:w="100" w:type="dxa"/>
              <w:end w:w="120" w:type="dxa"/>
            </w:tcMar>
          </w:tcPr>
          <w:p>
            <w:r>
              <w:rPr>
                <w:rFonts w:ascii="Arial" w:hAnsi="Arial" w:eastAsia="Arial"/>
                <w:color w:val="222222"/>
                <w:sz w:val="17"/>
              </w:rPr>
              <w:t>Công khai, nhanh chóng giật lấy rồi tẩu thoát</w:t>
            </w:r>
          </w:p>
        </w:tc>
        <w:tc>
          <w:tcPr>
            <w:tcW w:type="dxa" w:w="2304"/>
            <w:tcMar>
              <w:top w:w="100" w:type="dxa"/>
              <w:start w:w="120" w:type="dxa"/>
              <w:bottom w:w="100" w:type="dxa"/>
              <w:end w:w="120" w:type="dxa"/>
            </w:tcMar>
          </w:tcPr>
          <w:p>
            <w:r>
              <w:rPr>
                <w:rFonts w:ascii="Arial" w:hAnsi="Arial" w:eastAsia="Arial"/>
                <w:color w:val="222222"/>
                <w:sz w:val="17"/>
              </w:rPr>
              <w:t>Trước khi chiếm đoạt</w:t>
            </w:r>
          </w:p>
        </w:tc>
      </w:tr>
      <w:tr>
        <w:tc>
          <w:tcPr>
            <w:tcW w:type="dxa" w:w="1584"/>
            <w:tcMar>
              <w:top w:w="100" w:type="dxa"/>
              <w:start w:w="120" w:type="dxa"/>
              <w:bottom w:w="100" w:type="dxa"/>
              <w:end w:w="120" w:type="dxa"/>
            </w:tcMar>
          </w:tcPr>
          <w:p>
            <w:r>
              <w:rPr>
                <w:rFonts w:ascii="Arial" w:hAnsi="Arial" w:eastAsia="Arial"/>
                <w:color w:val="222222"/>
                <w:sz w:val="17"/>
              </w:rPr>
              <w:t>Công nhiên chiếm đoạt</w:t>
            </w:r>
          </w:p>
        </w:tc>
        <w:tc>
          <w:tcPr>
            <w:tcW w:type="dxa" w:w="5760"/>
            <w:tcMar>
              <w:top w:w="100" w:type="dxa"/>
              <w:start w:w="120" w:type="dxa"/>
              <w:bottom w:w="100" w:type="dxa"/>
              <w:end w:w="120" w:type="dxa"/>
            </w:tcMar>
          </w:tcPr>
          <w:p>
            <w:r>
              <w:rPr>
                <w:rFonts w:ascii="Arial" w:hAnsi="Arial" w:eastAsia="Arial"/>
                <w:color w:val="222222"/>
                <w:sz w:val="17"/>
              </w:rPr>
              <w:t>Công khai lấy tài sản khi chủ tài sản không thể ngăn cản</w:t>
            </w:r>
          </w:p>
        </w:tc>
        <w:tc>
          <w:tcPr>
            <w:tcW w:type="dxa" w:w="2304"/>
            <w:tcMar>
              <w:top w:w="100" w:type="dxa"/>
              <w:start w:w="120" w:type="dxa"/>
              <w:bottom w:w="100" w:type="dxa"/>
              <w:end w:w="120" w:type="dxa"/>
            </w:tcMar>
          </w:tcPr>
          <w:p>
            <w:r>
              <w:rPr>
                <w:rFonts w:ascii="Arial" w:hAnsi="Arial" w:eastAsia="Arial"/>
                <w:color w:val="222222"/>
                <w:sz w:val="17"/>
              </w:rPr>
              <w:t>Trước khi chiếm đoạt</w:t>
            </w:r>
          </w:p>
        </w:tc>
      </w:tr>
      <w:tr>
        <w:tc>
          <w:tcPr>
            <w:tcW w:type="dxa" w:w="1584"/>
            <w:tcMar>
              <w:top w:w="100" w:type="dxa"/>
              <w:start w:w="120" w:type="dxa"/>
              <w:bottom w:w="100" w:type="dxa"/>
              <w:end w:w="120" w:type="dxa"/>
            </w:tcMar>
          </w:tcPr>
          <w:p>
            <w:r>
              <w:rPr>
                <w:rFonts w:ascii="Arial" w:hAnsi="Arial" w:eastAsia="Arial"/>
                <w:color w:val="222222"/>
                <w:sz w:val="17"/>
              </w:rPr>
              <w:t>Trộm cắp</w:t>
            </w:r>
          </w:p>
        </w:tc>
        <w:tc>
          <w:tcPr>
            <w:tcW w:type="dxa" w:w="5760"/>
            <w:tcMar>
              <w:top w:w="100" w:type="dxa"/>
              <w:start w:w="120" w:type="dxa"/>
              <w:bottom w:w="100" w:type="dxa"/>
              <w:end w:w="120" w:type="dxa"/>
            </w:tcMar>
          </w:tcPr>
          <w:p>
            <w:r>
              <w:rPr>
                <w:rFonts w:ascii="Arial" w:hAnsi="Arial" w:eastAsia="Arial"/>
                <w:color w:val="222222"/>
                <w:sz w:val="17"/>
              </w:rPr>
              <w:t>Lén lút chiếm đoạt</w:t>
            </w:r>
          </w:p>
        </w:tc>
        <w:tc>
          <w:tcPr>
            <w:tcW w:type="dxa" w:w="2304"/>
            <w:tcMar>
              <w:top w:w="100" w:type="dxa"/>
              <w:start w:w="120" w:type="dxa"/>
              <w:bottom w:w="100" w:type="dxa"/>
              <w:end w:w="120" w:type="dxa"/>
            </w:tcMar>
          </w:tcPr>
          <w:p>
            <w:r>
              <w:rPr>
                <w:rFonts w:ascii="Arial" w:hAnsi="Arial" w:eastAsia="Arial"/>
                <w:color w:val="222222"/>
                <w:sz w:val="17"/>
              </w:rPr>
              <w:t>Trước khi chiếm đoạt</w:t>
            </w:r>
          </w:p>
        </w:tc>
      </w:tr>
      <w:tr>
        <w:tc>
          <w:tcPr>
            <w:tcW w:type="dxa" w:w="1584"/>
            <w:tcMar>
              <w:top w:w="100" w:type="dxa"/>
              <w:start w:w="120" w:type="dxa"/>
              <w:bottom w:w="100" w:type="dxa"/>
              <w:end w:w="120" w:type="dxa"/>
            </w:tcMar>
          </w:tcPr>
          <w:p>
            <w:r>
              <w:rPr>
                <w:rFonts w:ascii="Arial" w:hAnsi="Arial" w:eastAsia="Arial"/>
                <w:color w:val="222222"/>
                <w:sz w:val="17"/>
              </w:rPr>
              <w:t>Lừa đảo</w:t>
            </w:r>
          </w:p>
        </w:tc>
        <w:tc>
          <w:tcPr>
            <w:tcW w:type="dxa" w:w="5760"/>
            <w:tcMar>
              <w:top w:w="100" w:type="dxa"/>
              <w:start w:w="120" w:type="dxa"/>
              <w:bottom w:w="100" w:type="dxa"/>
              <w:end w:w="120" w:type="dxa"/>
            </w:tcMar>
          </w:tcPr>
          <w:p>
            <w:r>
              <w:rPr>
                <w:rFonts w:ascii="Arial" w:hAnsi="Arial" w:eastAsia="Arial"/>
                <w:color w:val="222222"/>
                <w:sz w:val="17"/>
              </w:rPr>
              <w:t>Gian dối có trước làm chủ tài sản tự nguyện giao tài sản</w:t>
            </w:r>
          </w:p>
        </w:tc>
        <w:tc>
          <w:tcPr>
            <w:tcW w:type="dxa" w:w="2304"/>
            <w:tcMar>
              <w:top w:w="100" w:type="dxa"/>
              <w:start w:w="120" w:type="dxa"/>
              <w:bottom w:w="100" w:type="dxa"/>
              <w:end w:w="120" w:type="dxa"/>
            </w:tcMar>
          </w:tcPr>
          <w:p>
            <w:r>
              <w:rPr>
                <w:rFonts w:ascii="Arial" w:hAnsi="Arial" w:eastAsia="Arial"/>
                <w:color w:val="222222"/>
                <w:sz w:val="17"/>
              </w:rPr>
              <w:t>Có trước việc giao tài sản</w:t>
            </w:r>
          </w:p>
        </w:tc>
      </w:tr>
      <w:tr>
        <w:tc>
          <w:tcPr>
            <w:tcW w:type="dxa" w:w="1584"/>
            <w:tcMar>
              <w:top w:w="100" w:type="dxa"/>
              <w:start w:w="120" w:type="dxa"/>
              <w:bottom w:w="100" w:type="dxa"/>
              <w:end w:w="120" w:type="dxa"/>
            </w:tcMar>
          </w:tcPr>
          <w:p>
            <w:r>
              <w:rPr>
                <w:rFonts w:ascii="Arial" w:hAnsi="Arial" w:eastAsia="Arial"/>
                <w:color w:val="222222"/>
                <w:sz w:val="17"/>
              </w:rPr>
              <w:t>Lạm dụng tín nhiệm</w:t>
            </w:r>
          </w:p>
        </w:tc>
        <w:tc>
          <w:tcPr>
            <w:tcW w:type="dxa" w:w="5760"/>
            <w:tcMar>
              <w:top w:w="100" w:type="dxa"/>
              <w:start w:w="120" w:type="dxa"/>
              <w:bottom w:w="100" w:type="dxa"/>
              <w:end w:w="120" w:type="dxa"/>
            </w:tcMar>
          </w:tcPr>
          <w:p>
            <w:r>
              <w:rPr>
                <w:rFonts w:ascii="Arial" w:hAnsi="Arial" w:eastAsia="Arial"/>
                <w:color w:val="222222"/>
                <w:sz w:val="17"/>
              </w:rPr>
              <w:t>Nhận tài sản hợp pháp rồi dùng thủ đoạn/điều kiện luật định để chiếm đoạt</w:t>
            </w:r>
          </w:p>
        </w:tc>
        <w:tc>
          <w:tcPr>
            <w:tcW w:type="dxa" w:w="2304"/>
            <w:tcMar>
              <w:top w:w="100" w:type="dxa"/>
              <w:start w:w="120" w:type="dxa"/>
              <w:bottom w:w="100" w:type="dxa"/>
              <w:end w:w="120" w:type="dxa"/>
            </w:tcMar>
          </w:tcPr>
          <w:p>
            <w:r>
              <w:rPr>
                <w:rFonts w:ascii="Arial" w:hAnsi="Arial" w:eastAsia="Arial"/>
                <w:color w:val="222222"/>
                <w:sz w:val="17"/>
              </w:rPr>
              <w:t>Thường phát sinh sau khi nhận tài sản</w:t>
            </w:r>
          </w:p>
        </w:tc>
      </w:tr>
    </w:tbl>
    <w:p>
      <w:r>
        <w:br w:type="page"/>
      </w:r>
    </w:p>
    <w:p>
      <w:pPr>
        <w:pStyle w:val="Heading1"/>
      </w:pPr>
      <w:r>
        <w:t>PHẦN III. BÀI TẬP ĐIỂN HÌNH VÀ NÂNG CAO</w:t>
      </w:r>
    </w:p>
    <w:p>
      <w:r>
        <w:rPr>
          <w:rFonts w:ascii="Arial" w:hAnsi="Arial" w:eastAsia="Arial"/>
          <w:b/>
          <w:color w:val="C00000"/>
          <w:sz w:val="22"/>
        </w:rPr>
        <w:t xml:space="preserve">Nguyên tắc: </w:t>
      </w:r>
      <w:r>
        <w:rPr>
          <w:rFonts w:ascii="Arial" w:hAnsi="Arial" w:eastAsia="Arial"/>
          <w:color w:val="222222"/>
          <w:sz w:val="22"/>
        </w:rPr>
        <w:t>các bài có yếu tố hình sự/hành chính chỉ kết luận trong phạm vi dữ kiện đề cho; nếu thiếu tuổi, giá trị tài sản, lỗi hoặc hậu quả thì phải nêu điều kiện.</w:t>
      </w:r>
    </w:p>
    <w:p>
      <w:pPr>
        <w:pStyle w:val="Heading2"/>
      </w:pPr>
      <w:r>
        <w:t>Bài 1. Xác định quan hệ pháp luật dân sự</w:t>
      </w:r>
    </w:p>
    <w:p>
      <w:r>
        <w:rPr>
          <w:rFonts w:ascii="Arial" w:hAnsi="Arial" w:eastAsia="Arial"/>
          <w:b/>
          <w:color w:val="17365D"/>
          <w:sz w:val="22"/>
        </w:rPr>
        <w:t xml:space="preserve">Đề bài: </w:t>
      </w:r>
      <w:r>
        <w:rPr>
          <w:rFonts w:ascii="Arial" w:hAnsi="Arial" w:eastAsia="Arial"/>
          <w:color w:val="222222"/>
          <w:sz w:val="22"/>
        </w:rPr>
        <w:t>A vay B 100 triệu đồng trong 12 tháng, lãi theo thỏa thuận hợp pháp. B đã giao tiền nhưng đến hạn A không trả. Hãy xác định các yếu tố của quan hệ pháp luật.</w:t>
      </w:r>
    </w:p>
    <w:p>
      <w:pPr>
        <w:pStyle w:val="Heading3"/>
      </w:pPr>
      <w:r>
        <w:t>Gợi ý giải</w:t>
      </w:r>
    </w:p>
    <w:p>
      <w:pPr>
        <w:spacing w:after="80"/>
      </w:pPr>
      <w:r>
        <w:rPr>
          <w:rFonts w:ascii="Arial" w:hAnsi="Arial" w:eastAsia="Arial"/>
          <w:b/>
          <w:color w:val="222222"/>
          <w:sz w:val="22"/>
        </w:rPr>
        <w:t xml:space="preserve">Quan hệ pháp luật: </w:t>
      </w:r>
      <w:r>
        <w:rPr>
          <w:rFonts w:ascii="Arial" w:hAnsi="Arial" w:eastAsia="Arial"/>
          <w:color w:val="222222"/>
          <w:sz w:val="22"/>
        </w:rPr>
        <w:t>Quan hệ hợp đồng vay tài sản thuộc pháp luật dân sự.</w:t>
      </w:r>
    </w:p>
    <w:p>
      <w:pPr>
        <w:spacing w:after="80"/>
      </w:pPr>
      <w:r>
        <w:rPr>
          <w:rFonts w:ascii="Arial" w:hAnsi="Arial" w:eastAsia="Arial"/>
          <w:b/>
          <w:color w:val="222222"/>
          <w:sz w:val="22"/>
        </w:rPr>
        <w:t xml:space="preserve">Chủ thể: </w:t>
      </w:r>
      <w:r>
        <w:rPr>
          <w:rFonts w:ascii="Arial" w:hAnsi="Arial" w:eastAsia="Arial"/>
          <w:color w:val="222222"/>
          <w:sz w:val="22"/>
        </w:rPr>
        <w:t>A là bên vay; B là bên cho vay. Cần giả định cả hai có năng lực hành vi dân sự phù hợp.</w:t>
      </w:r>
    </w:p>
    <w:p>
      <w:pPr>
        <w:spacing w:after="80"/>
      </w:pPr>
      <w:r>
        <w:rPr>
          <w:rFonts w:ascii="Arial" w:hAnsi="Arial" w:eastAsia="Arial"/>
          <w:b/>
          <w:color w:val="222222"/>
          <w:sz w:val="22"/>
        </w:rPr>
        <w:t xml:space="preserve">Khách thể: </w:t>
      </w:r>
      <w:r>
        <w:rPr>
          <w:rFonts w:ascii="Arial" w:hAnsi="Arial" w:eastAsia="Arial"/>
          <w:color w:val="222222"/>
          <w:sz w:val="22"/>
        </w:rPr>
        <w:t>Lợi ích mà các bên hướng tới thông qua khoản tiền vay và việc hoàn trả; không nên chỉ ghi máy móc “100 triệu đồng”.</w:t>
      </w:r>
    </w:p>
    <w:p>
      <w:pPr>
        <w:spacing w:after="80"/>
      </w:pPr>
      <w:r>
        <w:rPr>
          <w:rFonts w:ascii="Arial" w:hAnsi="Arial" w:eastAsia="Arial"/>
          <w:b/>
          <w:color w:val="222222"/>
          <w:sz w:val="22"/>
        </w:rPr>
        <w:t xml:space="preserve">Nội dung: </w:t>
      </w:r>
      <w:r>
        <w:rPr>
          <w:rFonts w:ascii="Arial" w:hAnsi="Arial" w:eastAsia="Arial"/>
          <w:color w:val="222222"/>
          <w:sz w:val="22"/>
        </w:rPr>
        <w:t>B có nghĩa vụ giao tiền và quyền yêu cầu trả nợ; A có quyền nhận, sử dụng tiền và nghĩa vụ trả nợ gốc, lãi hợp pháp đúng hạn.</w:t>
      </w:r>
    </w:p>
    <w:p>
      <w:pPr>
        <w:spacing w:after="80"/>
      </w:pPr>
      <w:r>
        <w:rPr>
          <w:rFonts w:ascii="Arial" w:hAnsi="Arial" w:eastAsia="Arial"/>
          <w:b/>
          <w:color w:val="222222"/>
          <w:sz w:val="22"/>
        </w:rPr>
        <w:t xml:space="preserve">Sự kiện pháp lý: </w:t>
      </w:r>
      <w:r>
        <w:rPr>
          <w:rFonts w:ascii="Arial" w:hAnsi="Arial" w:eastAsia="Arial"/>
          <w:color w:val="222222"/>
          <w:sz w:val="22"/>
        </w:rPr>
        <w:t>Giao kết hợp đồng, giao tiền và việc đến hạn không trả.</w:t>
      </w:r>
    </w:p>
    <w:p>
      <w:pPr>
        <w:spacing w:after="80"/>
      </w:pPr>
      <w:r>
        <w:rPr>
          <w:rFonts w:ascii="Arial" w:hAnsi="Arial" w:eastAsia="Arial"/>
          <w:b/>
          <w:color w:val="222222"/>
          <w:sz w:val="22"/>
        </w:rPr>
        <w:t xml:space="preserve">Hậu quả: </w:t>
      </w:r>
      <w:r>
        <w:rPr>
          <w:rFonts w:ascii="Arial" w:hAnsi="Arial" w:eastAsia="Arial"/>
          <w:color w:val="222222"/>
          <w:sz w:val="22"/>
        </w:rPr>
        <w:t>B có quyền yêu cầu thực hiện nghĩa vụ, lãi chậm trả và bồi thường nếu đủ căn cứ.</w:t>
      </w:r>
    </w:p>
    <w:p>
      <w:pPr>
        <w:pStyle w:val="Heading2"/>
      </w:pPr>
      <w:r>
        <w:t>Bài 2. Giả định – quy định – chế tài</w:t>
      </w:r>
    </w:p>
    <w:p>
      <w:r>
        <w:rPr>
          <w:rFonts w:ascii="Arial" w:hAnsi="Arial" w:eastAsia="Arial"/>
          <w:b/>
          <w:color w:val="17365D"/>
          <w:sz w:val="22"/>
        </w:rPr>
        <w:t xml:space="preserve">Đề bài: </w:t>
      </w:r>
      <w:r>
        <w:rPr>
          <w:rFonts w:ascii="Arial" w:hAnsi="Arial" w:eastAsia="Arial"/>
          <w:color w:val="222222"/>
          <w:sz w:val="22"/>
        </w:rPr>
        <w:t>Quy tắc: “Người điều khiển xe mô tô khi tham gia giao thông phải đội mũ bảo hiểm đúng quy cách; vi phạm bị xử phạt theo quy định.” Hãy xác định cấu trúc logic.</w:t>
      </w:r>
    </w:p>
    <w:p>
      <w:pPr>
        <w:pStyle w:val="Heading3"/>
      </w:pPr>
      <w:r>
        <w:t>Gợi ý giải</w:t>
      </w:r>
    </w:p>
    <w:p>
      <w:pPr>
        <w:spacing w:after="80"/>
      </w:pPr>
      <w:r>
        <w:rPr>
          <w:rFonts w:ascii="Arial" w:hAnsi="Arial" w:eastAsia="Arial"/>
          <w:b/>
          <w:color w:val="222222"/>
          <w:sz w:val="22"/>
        </w:rPr>
        <w:t xml:space="preserve">Giả định: </w:t>
      </w:r>
      <w:r>
        <w:rPr>
          <w:rFonts w:ascii="Arial" w:hAnsi="Arial" w:eastAsia="Arial"/>
          <w:color w:val="222222"/>
          <w:sz w:val="22"/>
        </w:rPr>
        <w:t>Người điều khiển xe mô tô khi tham gia giao thông.</w:t>
      </w:r>
    </w:p>
    <w:p>
      <w:pPr>
        <w:spacing w:after="80"/>
      </w:pPr>
      <w:r>
        <w:rPr>
          <w:rFonts w:ascii="Arial" w:hAnsi="Arial" w:eastAsia="Arial"/>
          <w:b/>
          <w:color w:val="222222"/>
          <w:sz w:val="22"/>
        </w:rPr>
        <w:t xml:space="preserve">Quy định: </w:t>
      </w:r>
      <w:r>
        <w:rPr>
          <w:rFonts w:ascii="Arial" w:hAnsi="Arial" w:eastAsia="Arial"/>
          <w:color w:val="222222"/>
          <w:sz w:val="22"/>
        </w:rPr>
        <w:t>Phải đội mũ bảo hiểm đúng quy cách.</w:t>
      </w:r>
    </w:p>
    <w:p>
      <w:pPr>
        <w:spacing w:after="80"/>
      </w:pPr>
      <w:r>
        <w:rPr>
          <w:rFonts w:ascii="Arial" w:hAnsi="Arial" w:eastAsia="Arial"/>
          <w:b/>
          <w:color w:val="222222"/>
          <w:sz w:val="22"/>
        </w:rPr>
        <w:t xml:space="preserve">Chế tài: </w:t>
      </w:r>
      <w:r>
        <w:rPr>
          <w:rFonts w:ascii="Arial" w:hAnsi="Arial" w:eastAsia="Arial"/>
          <w:color w:val="222222"/>
          <w:sz w:val="22"/>
        </w:rPr>
        <w:t>Bị xử phạt theo quy định nếu không thực hiện.</w:t>
      </w:r>
    </w:p>
    <w:p>
      <w:pPr>
        <w:spacing w:after="80"/>
      </w:pPr>
      <w:r>
        <w:rPr>
          <w:rFonts w:ascii="Arial" w:hAnsi="Arial" w:eastAsia="Arial"/>
          <w:b/>
          <w:color w:val="222222"/>
          <w:sz w:val="22"/>
        </w:rPr>
        <w:t xml:space="preserve">Nhận xét: </w:t>
      </w:r>
      <w:r>
        <w:rPr>
          <w:rFonts w:ascii="Arial" w:hAnsi="Arial" w:eastAsia="Arial"/>
          <w:color w:val="222222"/>
          <w:sz w:val="22"/>
        </w:rPr>
        <w:t>Trong văn bản thực tế, mức phạt có thể nằm ở điều khoản hoặc văn bản khác; cấu trúc quy phạm không nhất thiết nằm trọn trong một câu.</w:t>
      </w:r>
    </w:p>
    <w:p>
      <w:pPr>
        <w:pStyle w:val="Heading2"/>
      </w:pPr>
      <w:r>
        <w:t>Bài 3. Phân tích cấu thành vi phạm pháp luật</w:t>
      </w:r>
    </w:p>
    <w:p>
      <w:r>
        <w:rPr>
          <w:rFonts w:ascii="Arial" w:hAnsi="Arial" w:eastAsia="Arial"/>
          <w:b/>
          <w:color w:val="17365D"/>
          <w:sz w:val="22"/>
        </w:rPr>
        <w:t xml:space="preserve">Đề bài: </w:t>
      </w:r>
      <w:r>
        <w:rPr>
          <w:rFonts w:ascii="Arial" w:hAnsi="Arial" w:eastAsia="Arial"/>
          <w:color w:val="222222"/>
          <w:sz w:val="22"/>
        </w:rPr>
        <w:t>A, 23 tuổi, lén lấy 50 triệu đồng trong tủ của H rồi dùng tiền mua xe và đóng học phí. Phân tích bốn yếu tố cấu thành.</w:t>
      </w:r>
    </w:p>
    <w:p>
      <w:pPr>
        <w:pStyle w:val="Heading3"/>
      </w:pPr>
      <w:r>
        <w:t>Gợi ý giải</w:t>
      </w:r>
    </w:p>
    <w:p>
      <w:pPr>
        <w:spacing w:after="80"/>
      </w:pPr>
      <w:r>
        <w:rPr>
          <w:rFonts w:ascii="Arial" w:hAnsi="Arial" w:eastAsia="Arial"/>
          <w:b/>
          <w:color w:val="222222"/>
          <w:sz w:val="22"/>
        </w:rPr>
        <w:t xml:space="preserve">Mặt khách quan: </w:t>
      </w:r>
      <w:r>
        <w:rPr>
          <w:rFonts w:ascii="Arial" w:hAnsi="Arial" w:eastAsia="Arial"/>
          <w:color w:val="222222"/>
          <w:sz w:val="22"/>
        </w:rPr>
        <w:t>Hành vi lén lút lấy 50 triệu; hậu quả H mất tài sản; có quan hệ nhân quả trực tiếp.</w:t>
      </w:r>
    </w:p>
    <w:p>
      <w:pPr>
        <w:spacing w:after="80"/>
      </w:pPr>
      <w:r>
        <w:rPr>
          <w:rFonts w:ascii="Arial" w:hAnsi="Arial" w:eastAsia="Arial"/>
          <w:b/>
          <w:color w:val="222222"/>
          <w:sz w:val="22"/>
        </w:rPr>
        <w:t xml:space="preserve">Mặt chủ quan: </w:t>
      </w:r>
      <w:r>
        <w:rPr>
          <w:rFonts w:ascii="Arial" w:hAnsi="Arial" w:eastAsia="Arial"/>
          <w:color w:val="222222"/>
          <w:sz w:val="22"/>
        </w:rPr>
        <w:t>Lỗi cố ý trực tiếp: A nhận thức rõ và mong muốn chiếm đoạt. Động cơ đóng học phí không loại trừ lỗi; mục đích là chiếm đoạt tài sản.</w:t>
      </w:r>
    </w:p>
    <w:p>
      <w:pPr>
        <w:spacing w:after="80"/>
      </w:pPr>
      <w:r>
        <w:rPr>
          <w:rFonts w:ascii="Arial" w:hAnsi="Arial" w:eastAsia="Arial"/>
          <w:b/>
          <w:color w:val="222222"/>
          <w:sz w:val="22"/>
        </w:rPr>
        <w:t xml:space="preserve">Chủ thể: </w:t>
      </w:r>
      <w:r>
        <w:rPr>
          <w:rFonts w:ascii="Arial" w:hAnsi="Arial" w:eastAsia="Arial"/>
          <w:color w:val="222222"/>
          <w:sz w:val="22"/>
        </w:rPr>
        <w:t>A 23 tuổi, giả định có năng lực trách nhiệm hình sự.</w:t>
      </w:r>
    </w:p>
    <w:p>
      <w:pPr>
        <w:spacing w:after="80"/>
      </w:pPr>
      <w:r>
        <w:rPr>
          <w:rFonts w:ascii="Arial" w:hAnsi="Arial" w:eastAsia="Arial"/>
          <w:b/>
          <w:color w:val="222222"/>
          <w:sz w:val="22"/>
        </w:rPr>
        <w:t xml:space="preserve">Khách thể: </w:t>
      </w:r>
      <w:r>
        <w:rPr>
          <w:rFonts w:ascii="Arial" w:hAnsi="Arial" w:eastAsia="Arial"/>
          <w:color w:val="222222"/>
          <w:sz w:val="22"/>
        </w:rPr>
        <w:t>Quan hệ sở hữu tài sản, không phải bản thân H.</w:t>
      </w:r>
    </w:p>
    <w:p>
      <w:pPr>
        <w:spacing w:after="80"/>
      </w:pPr>
      <w:r>
        <w:rPr>
          <w:rFonts w:ascii="Arial" w:hAnsi="Arial" w:eastAsia="Arial"/>
          <w:b/>
          <w:color w:val="222222"/>
          <w:sz w:val="22"/>
        </w:rPr>
        <w:t xml:space="preserve">Định hướng tội danh: </w:t>
      </w:r>
      <w:r>
        <w:rPr>
          <w:rFonts w:ascii="Arial" w:hAnsi="Arial" w:eastAsia="Arial"/>
          <w:color w:val="222222"/>
          <w:sz w:val="22"/>
        </w:rPr>
        <w:t>Có dấu hiệu trộm cắp tài sản vì hành vi chiếm đoạt được thực hiện lén lút; kết luận cụ thể cần đối chiếu đầy đủ BLHS.</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Lưu ý chấm điểm: </w:t>
            </w:r>
            <w:r>
              <w:rPr>
                <w:rFonts w:ascii="Arial" w:hAnsi="Arial" w:eastAsia="Arial"/>
                <w:color w:val="17365D"/>
                <w:sz w:val="21"/>
              </w:rPr>
              <w:t>Không được ghi “không có hậu quả”, “cố ý gián tiếp” hoặc “khách thể là anh H”.</w:t>
            </w:r>
          </w:p>
        </w:tc>
      </w:tr>
    </w:tbl>
    <w:p>
      <w:pPr>
        <w:spacing w:after="0"/>
      </w:pPr>
    </w:p>
    <w:p>
      <w:pPr>
        <w:pStyle w:val="Heading2"/>
      </w:pPr>
      <w:r>
        <w:t>Bài 4. Phân biệt tội chiếm đoạt qua tình huống sửa xe</w:t>
      </w:r>
    </w:p>
    <w:p>
      <w:r>
        <w:rPr>
          <w:rFonts w:ascii="Arial" w:hAnsi="Arial" w:eastAsia="Arial"/>
          <w:b/>
          <w:color w:val="17365D"/>
          <w:sz w:val="22"/>
        </w:rPr>
        <w:t xml:space="preserve">Đề bài: </w:t>
      </w:r>
      <w:r>
        <w:rPr>
          <w:rFonts w:ascii="Arial" w:hAnsi="Arial" w:eastAsia="Arial"/>
          <w:color w:val="222222"/>
          <w:sz w:val="22"/>
        </w:rPr>
        <w:t>A nhờ H sửa chiếc xe chết máy. Sau khi sửa, H bất ngờ nổ máy chạy đi và bán xe. H không dùng vũ lực hoặc đe dọa A. Hành vi có phải tội cướp không?</w:t>
      </w:r>
    </w:p>
    <w:p>
      <w:pPr>
        <w:pStyle w:val="Heading3"/>
      </w:pPr>
      <w:r>
        <w:t>Gợi ý giải</w:t>
      </w:r>
    </w:p>
    <w:p>
      <w:pPr>
        <w:spacing w:after="80"/>
      </w:pPr>
      <w:r>
        <w:rPr>
          <w:rFonts w:ascii="Arial" w:hAnsi="Arial" w:eastAsia="Arial"/>
          <w:b/>
          <w:color w:val="222222"/>
          <w:sz w:val="22"/>
        </w:rPr>
        <w:t xml:space="preserve">Loại trừ tội cướp: </w:t>
      </w:r>
      <w:r>
        <w:rPr>
          <w:rFonts w:ascii="Arial" w:hAnsi="Arial" w:eastAsia="Arial"/>
          <w:color w:val="222222"/>
          <w:sz w:val="22"/>
        </w:rPr>
        <w:t>Không có hành vi dùng vũ lực, đe dọa dùng ngay tức khắc vũ lực hoặc thủ đoạn làm A không thể chống cự.</w:t>
      </w:r>
    </w:p>
    <w:p>
      <w:pPr>
        <w:spacing w:after="80"/>
      </w:pPr>
      <w:r>
        <w:rPr>
          <w:rFonts w:ascii="Arial" w:hAnsi="Arial" w:eastAsia="Arial"/>
          <w:b/>
          <w:color w:val="222222"/>
          <w:sz w:val="22"/>
        </w:rPr>
        <w:t xml:space="preserve">Hướng định tội: </w:t>
      </w:r>
      <w:r>
        <w:rPr>
          <w:rFonts w:ascii="Arial" w:hAnsi="Arial" w:eastAsia="Arial"/>
          <w:color w:val="222222"/>
          <w:sz w:val="22"/>
        </w:rPr>
        <w:t>Cần làm rõ H chiếm đoạt công khai trong hoàn cảnh A có khả năng hay không có khả năng ngăn cản; từ đó xem xét công nhiên chiếm đoạt hoặc tội danh phù hợp khác.</w:t>
      </w:r>
    </w:p>
    <w:p>
      <w:pPr>
        <w:spacing w:after="80"/>
      </w:pPr>
      <w:r>
        <w:rPr>
          <w:rFonts w:ascii="Arial" w:hAnsi="Arial" w:eastAsia="Arial"/>
          <w:b/>
          <w:color w:val="222222"/>
          <w:sz w:val="22"/>
        </w:rPr>
        <w:t xml:space="preserve">Kết luận: </w:t>
      </w:r>
      <w:r>
        <w:rPr>
          <w:rFonts w:ascii="Arial" w:hAnsi="Arial" w:eastAsia="Arial"/>
          <w:color w:val="222222"/>
          <w:sz w:val="22"/>
        </w:rPr>
        <w:t>Không đủ căn cứ gọi là tội cướp chỉ vì H công khai lấy xe.</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Lưu ý chấm điểm: </w:t>
            </w:r>
            <w:r>
              <w:rPr>
                <w:rFonts w:ascii="Arial" w:hAnsi="Arial" w:eastAsia="Arial"/>
                <w:color w:val="17365D"/>
                <w:sz w:val="21"/>
              </w:rPr>
              <w:t>Điểm quan trọng là phương thức chiếm đoạt, không phải cách gọi đời thường “cướp xe”.</w:t>
            </w:r>
          </w:p>
        </w:tc>
      </w:tr>
    </w:tbl>
    <w:p>
      <w:pPr>
        <w:spacing w:after="0"/>
      </w:pPr>
    </w:p>
    <w:p>
      <w:pPr>
        <w:pStyle w:val="Heading2"/>
      </w:pPr>
      <w:r>
        <w:t>Bài 5. Vé số trúng thưởng được giao giữ</w:t>
      </w:r>
    </w:p>
    <w:p>
      <w:r>
        <w:rPr>
          <w:rFonts w:ascii="Arial" w:hAnsi="Arial" w:eastAsia="Arial"/>
          <w:b/>
          <w:color w:val="17365D"/>
          <w:sz w:val="22"/>
        </w:rPr>
        <w:t xml:space="preserve">Đề bài: </w:t>
      </w:r>
      <w:r>
        <w:rPr>
          <w:rFonts w:ascii="Arial" w:hAnsi="Arial" w:eastAsia="Arial"/>
          <w:color w:val="222222"/>
          <w:sz w:val="22"/>
        </w:rPr>
        <w:t>C mua vé số rồi đồng ý để Đ cầm giữ. Khi biết trúng 150 triệu đồng, Đ bí mật nhận thưởng và nói dối C rằng vé không trúng. Xác định hướng xử lý.</w:t>
      </w:r>
    </w:p>
    <w:p>
      <w:pPr>
        <w:pStyle w:val="Heading3"/>
      </w:pPr>
      <w:r>
        <w:t>Gợi ý giải</w:t>
      </w:r>
    </w:p>
    <w:p>
      <w:pPr>
        <w:spacing w:after="80"/>
      </w:pPr>
      <w:r>
        <w:rPr>
          <w:rFonts w:ascii="Arial" w:hAnsi="Arial" w:eastAsia="Arial"/>
          <w:b/>
          <w:color w:val="222222"/>
          <w:sz w:val="22"/>
        </w:rPr>
        <w:t xml:space="preserve">Quan hệ ban đầu: </w:t>
      </w:r>
      <w:r>
        <w:rPr>
          <w:rFonts w:ascii="Arial" w:hAnsi="Arial" w:eastAsia="Arial"/>
          <w:color w:val="222222"/>
          <w:sz w:val="22"/>
        </w:rPr>
        <w:t>Đ nhận giữ vé hợp pháp theo sự đồng ý của C.</w:t>
      </w:r>
    </w:p>
    <w:p>
      <w:pPr>
        <w:spacing w:after="80"/>
      </w:pPr>
      <w:r>
        <w:rPr>
          <w:rFonts w:ascii="Arial" w:hAnsi="Arial" w:eastAsia="Arial"/>
          <w:b/>
          <w:color w:val="222222"/>
          <w:sz w:val="22"/>
        </w:rPr>
        <w:t xml:space="preserve">Thời điểm gian dối: </w:t>
      </w:r>
      <w:r>
        <w:rPr>
          <w:rFonts w:ascii="Arial" w:hAnsi="Arial" w:eastAsia="Arial"/>
          <w:color w:val="222222"/>
          <w:sz w:val="22"/>
        </w:rPr>
        <w:t>Thủ đoạn gian dối xuất hiện sau khi Đ đã nhận vé, nhằm che giấu việc chiếm đoạt.</w:t>
      </w:r>
    </w:p>
    <w:p>
      <w:pPr>
        <w:spacing w:after="80"/>
      </w:pPr>
      <w:r>
        <w:rPr>
          <w:rFonts w:ascii="Arial" w:hAnsi="Arial" w:eastAsia="Arial"/>
          <w:b/>
          <w:color w:val="222222"/>
          <w:sz w:val="22"/>
        </w:rPr>
        <w:t xml:space="preserve">Hướng tội danh: </w:t>
      </w:r>
      <w:r>
        <w:rPr>
          <w:rFonts w:ascii="Arial" w:hAnsi="Arial" w:eastAsia="Arial"/>
          <w:color w:val="222222"/>
          <w:sz w:val="22"/>
        </w:rPr>
        <w:t>Dấu hiệu phù hợp hơn với lạm dụng tín nhiệm chiếm đoạt tài sản so với lừa đảo; tuy nhiên cần làm rõ quyền sở hữu vé, thỏa thuận giữa các bên và đầy đủ điều kiện luật định.</w:t>
      </w:r>
    </w:p>
    <w:p>
      <w:pPr>
        <w:spacing w:after="80"/>
      </w:pPr>
      <w:r>
        <w:rPr>
          <w:rFonts w:ascii="Arial" w:hAnsi="Arial" w:eastAsia="Arial"/>
          <w:b/>
          <w:color w:val="222222"/>
          <w:sz w:val="22"/>
        </w:rPr>
        <w:t xml:space="preserve">Lỗi: </w:t>
      </w:r>
      <w:r>
        <w:rPr>
          <w:rFonts w:ascii="Arial" w:hAnsi="Arial" w:eastAsia="Arial"/>
          <w:color w:val="222222"/>
          <w:sz w:val="22"/>
        </w:rPr>
        <w:t>Cố ý trực tiếp; mục đích chiếm đoạt tiền thưởng.</w:t>
      </w:r>
    </w:p>
    <w:p>
      <w:pPr>
        <w:pStyle w:val="Heading2"/>
      </w:pPr>
      <w:r>
        <w:t>Bài 6. Người giữ tài sản do phạm tội mà có</w:t>
      </w:r>
    </w:p>
    <w:p>
      <w:r>
        <w:rPr>
          <w:rFonts w:ascii="Arial" w:hAnsi="Arial" w:eastAsia="Arial"/>
          <w:b/>
          <w:color w:val="17365D"/>
          <w:sz w:val="22"/>
        </w:rPr>
        <w:t xml:space="preserve">Đề bài: </w:t>
      </w:r>
      <w:r>
        <w:rPr>
          <w:rFonts w:ascii="Arial" w:hAnsi="Arial" w:eastAsia="Arial"/>
          <w:color w:val="222222"/>
          <w:sz w:val="22"/>
        </w:rPr>
        <w:t>Sau khi lấy xe của A, H gửi xe tại nhà B. Phân tích trách nhiệm của B trong ba trường hợp: không biết; biết sau khi nhận; biết và hứa hẹn trước.</w:t>
      </w:r>
    </w:p>
    <w:p>
      <w:pPr>
        <w:pStyle w:val="Heading3"/>
      </w:pPr>
      <w:r>
        <w:t>Gợi ý giải</w:t>
      </w:r>
    </w:p>
    <w:p>
      <w:pPr>
        <w:spacing w:after="80"/>
      </w:pPr>
      <w:r>
        <w:rPr>
          <w:rFonts w:ascii="Arial" w:hAnsi="Arial" w:eastAsia="Arial"/>
          <w:b/>
          <w:color w:val="222222"/>
          <w:sz w:val="22"/>
        </w:rPr>
        <w:t xml:space="preserve">Không biết: </w:t>
      </w:r>
      <w:r>
        <w:rPr>
          <w:rFonts w:ascii="Arial" w:hAnsi="Arial" w:eastAsia="Arial"/>
          <w:color w:val="222222"/>
          <w:sz w:val="22"/>
        </w:rPr>
        <w:t>B không có lỗi nên không chịu trách nhiệm hình sự về việc chứa chấp.</w:t>
      </w:r>
    </w:p>
    <w:p>
      <w:pPr>
        <w:spacing w:after="80"/>
      </w:pPr>
      <w:r>
        <w:rPr>
          <w:rFonts w:ascii="Arial" w:hAnsi="Arial" w:eastAsia="Arial"/>
          <w:b/>
          <w:color w:val="222222"/>
          <w:sz w:val="22"/>
        </w:rPr>
        <w:t xml:space="preserve">Biết sau khi nhận: </w:t>
      </w:r>
      <w:r>
        <w:rPr>
          <w:rFonts w:ascii="Arial" w:hAnsi="Arial" w:eastAsia="Arial"/>
          <w:color w:val="222222"/>
          <w:sz w:val="22"/>
        </w:rPr>
        <w:t>Nếu sau đó biết rõ tài sản do phạm tội mà có nhưng vẫn cất giấu, tiêu thụ và đủ dấu hiệu luật định, có thể bị xem xét về tội chứa chấp hoặc tiêu thụ tài sản do người khác phạm tội mà có.</w:t>
      </w:r>
    </w:p>
    <w:p>
      <w:pPr>
        <w:spacing w:after="80"/>
      </w:pPr>
      <w:r>
        <w:rPr>
          <w:rFonts w:ascii="Arial" w:hAnsi="Arial" w:eastAsia="Arial"/>
          <w:b/>
          <w:color w:val="222222"/>
          <w:sz w:val="22"/>
        </w:rPr>
        <w:t xml:space="preserve">Hứa hẹn trước: </w:t>
      </w:r>
      <w:r>
        <w:rPr>
          <w:rFonts w:ascii="Arial" w:hAnsi="Arial" w:eastAsia="Arial"/>
          <w:color w:val="222222"/>
          <w:sz w:val="22"/>
        </w:rPr>
        <w:t>Nếu B đã hứa hẹn trước và hỗ trợ H theo kế hoạch chung, có thể được xem xét với vai trò đồng phạm của tội chiếm đoạt tương ứng.</w:t>
      </w:r>
    </w:p>
    <w:p>
      <w:pPr>
        <w:pStyle w:val="Heading2"/>
      </w:pPr>
      <w:r>
        <w:t>Bài 7. Tai nạn giao thông và dữ kiện còn thiếu</w:t>
      </w:r>
    </w:p>
    <w:p>
      <w:r>
        <w:rPr>
          <w:rFonts w:ascii="Arial" w:hAnsi="Arial" w:eastAsia="Arial"/>
          <w:b/>
          <w:color w:val="17365D"/>
          <w:sz w:val="22"/>
        </w:rPr>
        <w:t xml:space="preserve">Đề bài: </w:t>
      </w:r>
      <w:r>
        <w:rPr>
          <w:rFonts w:ascii="Arial" w:hAnsi="Arial" w:eastAsia="Arial"/>
          <w:color w:val="222222"/>
          <w:sz w:val="22"/>
        </w:rPr>
        <w:t>K điều khiển xe lấn trái để vượt, va chạm làm T bị thương tích 60%. Có thể kết luận K phạm tội vi phạm quy định về tham gia giao thông đường bộ không?</w:t>
      </w:r>
    </w:p>
    <w:p>
      <w:pPr>
        <w:pStyle w:val="Heading3"/>
      </w:pPr>
      <w:r>
        <w:t>Gợi ý giải</w:t>
      </w:r>
    </w:p>
    <w:p>
      <w:pPr>
        <w:spacing w:after="80"/>
      </w:pPr>
      <w:r>
        <w:rPr>
          <w:rFonts w:ascii="Arial" w:hAnsi="Arial" w:eastAsia="Arial"/>
          <w:b/>
          <w:color w:val="222222"/>
          <w:sz w:val="22"/>
        </w:rPr>
        <w:t xml:space="preserve">Hành vi: </w:t>
      </w:r>
      <w:r>
        <w:rPr>
          <w:rFonts w:ascii="Arial" w:hAnsi="Arial" w:eastAsia="Arial"/>
          <w:color w:val="222222"/>
          <w:sz w:val="22"/>
        </w:rPr>
        <w:t>Có dấu hiệu vi phạm quy tắc giao thông và lỗi vô ý.</w:t>
      </w:r>
    </w:p>
    <w:p>
      <w:pPr>
        <w:spacing w:after="80"/>
      </w:pPr>
      <w:r>
        <w:rPr>
          <w:rFonts w:ascii="Arial" w:hAnsi="Arial" w:eastAsia="Arial"/>
          <w:b/>
          <w:color w:val="222222"/>
          <w:sz w:val="22"/>
        </w:rPr>
        <w:t xml:space="preserve">Hậu quả: </w:t>
      </w:r>
      <w:r>
        <w:rPr>
          <w:rFonts w:ascii="Arial" w:hAnsi="Arial" w:eastAsia="Arial"/>
          <w:color w:val="222222"/>
          <w:sz w:val="22"/>
        </w:rPr>
        <w:t>Thương tích 60% cho một người, nếu chỉ có dữ kiện này, chưa đạt ngưỡng thông thường 61% của trường hợp cơ bản về thương tích một người.</w:t>
      </w:r>
    </w:p>
    <w:p>
      <w:pPr>
        <w:spacing w:after="80"/>
      </w:pPr>
      <w:r>
        <w:rPr>
          <w:rFonts w:ascii="Arial" w:hAnsi="Arial" w:eastAsia="Arial"/>
          <w:b/>
          <w:color w:val="222222"/>
          <w:sz w:val="22"/>
        </w:rPr>
        <w:t xml:space="preserve">Dữ kiện cần bổ sung: </w:t>
      </w:r>
      <w:r>
        <w:rPr>
          <w:rFonts w:ascii="Arial" w:hAnsi="Arial" w:eastAsia="Arial"/>
          <w:color w:val="222222"/>
          <w:sz w:val="22"/>
        </w:rPr>
        <w:t>Có chết người không; có thêm người bị thương; thiệt hại tài sản; nồng độ cồn, ma túy; giấy phép; bỏ chạy hoặc không cứu giúp; các tình tiết định khung khác.</w:t>
      </w:r>
    </w:p>
    <w:p>
      <w:pPr>
        <w:spacing w:after="80"/>
      </w:pPr>
      <w:r>
        <w:rPr>
          <w:rFonts w:ascii="Arial" w:hAnsi="Arial" w:eastAsia="Arial"/>
          <w:b/>
          <w:color w:val="222222"/>
          <w:sz w:val="22"/>
        </w:rPr>
        <w:t xml:space="preserve">Kết luận: </w:t>
      </w:r>
      <w:r>
        <w:rPr>
          <w:rFonts w:ascii="Arial" w:hAnsi="Arial" w:eastAsia="Arial"/>
          <w:color w:val="222222"/>
          <w:sz w:val="22"/>
        </w:rPr>
        <w:t>Chưa đủ dữ kiện để khẳng định trách nhiệm hình sự; vẫn có thể phát sinh xử phạt hành chính và trách nhiệm bồi thường dân sự.</w:t>
      </w:r>
    </w:p>
    <w:p>
      <w:pPr>
        <w:pStyle w:val="Heading2"/>
      </w:pPr>
      <w:r>
        <w:t>Bài 8. Chia thừa kế theo pháp luật</w:t>
      </w:r>
    </w:p>
    <w:p>
      <w:r>
        <w:rPr>
          <w:rFonts w:ascii="Arial" w:hAnsi="Arial" w:eastAsia="Arial"/>
          <w:b/>
          <w:color w:val="17365D"/>
          <w:sz w:val="22"/>
        </w:rPr>
        <w:t xml:space="preserve">Đề bài: </w:t>
      </w:r>
      <w:r>
        <w:rPr>
          <w:rFonts w:ascii="Arial" w:hAnsi="Arial" w:eastAsia="Arial"/>
          <w:color w:val="222222"/>
          <w:sz w:val="22"/>
        </w:rPr>
        <w:t>Ông D và bà M có tài sản chung 900 triệu đồng. Ông D có tài sản riêng 100 triệu đồng. Ông D chết không để lại di chúc; cha mẹ ông đã mất, hàng thừa kế thứ nhất còn bà M và hai người con A, B. Không có nghĩa vụ tài sản.</w:t>
      </w:r>
    </w:p>
    <w:p>
      <w:pPr>
        <w:pStyle w:val="Heading3"/>
      </w:pPr>
      <w:r>
        <w:t>Gợi ý giải</w:t>
      </w:r>
    </w:p>
    <w:p>
      <w:pPr>
        <w:spacing w:after="80"/>
      </w:pPr>
      <w:r>
        <w:rPr>
          <w:rFonts w:ascii="Arial" w:hAnsi="Arial" w:eastAsia="Arial"/>
          <w:b/>
          <w:color w:val="222222"/>
          <w:sz w:val="22"/>
        </w:rPr>
        <w:t xml:space="preserve">Bước 1 – tách tài sản chung: </w:t>
      </w:r>
      <w:r>
        <w:rPr>
          <w:rFonts w:ascii="Arial" w:hAnsi="Arial" w:eastAsia="Arial"/>
          <w:color w:val="222222"/>
          <w:sz w:val="22"/>
        </w:rPr>
        <w:t>Phần của bà M là 450 triệu; phần của ông D trong tài sản chung là 450 triệu.</w:t>
      </w:r>
    </w:p>
    <w:p>
      <w:pPr>
        <w:spacing w:after="80"/>
      </w:pPr>
      <w:r>
        <w:rPr>
          <w:rFonts w:ascii="Arial" w:hAnsi="Arial" w:eastAsia="Arial"/>
          <w:b/>
          <w:color w:val="222222"/>
          <w:sz w:val="22"/>
        </w:rPr>
        <w:t xml:space="preserve">Bước 2 – xác định di sản: </w:t>
      </w:r>
      <w:r>
        <w:rPr>
          <w:rFonts w:ascii="Arial" w:hAnsi="Arial" w:eastAsia="Arial"/>
          <w:color w:val="222222"/>
          <w:sz w:val="22"/>
        </w:rPr>
        <w:t>450 triệu + 100 triệu tài sản riêng = 550 triệu.</w:t>
      </w:r>
    </w:p>
    <w:p>
      <w:pPr>
        <w:spacing w:after="80"/>
      </w:pPr>
      <w:r>
        <w:rPr>
          <w:rFonts w:ascii="Arial" w:hAnsi="Arial" w:eastAsia="Arial"/>
          <w:b/>
          <w:color w:val="222222"/>
          <w:sz w:val="22"/>
        </w:rPr>
        <w:t xml:space="preserve">Bước 3 – xác định người thừa kế: </w:t>
      </w:r>
      <w:r>
        <w:rPr>
          <w:rFonts w:ascii="Arial" w:hAnsi="Arial" w:eastAsia="Arial"/>
          <w:color w:val="222222"/>
          <w:sz w:val="22"/>
        </w:rPr>
        <w:t>Bà M, A và B cùng hàng thừa kế thứ nhất.</w:t>
      </w:r>
    </w:p>
    <w:p>
      <w:pPr>
        <w:spacing w:after="80"/>
      </w:pPr>
      <w:r>
        <w:rPr>
          <w:rFonts w:ascii="Arial" w:hAnsi="Arial" w:eastAsia="Arial"/>
          <w:b/>
          <w:color w:val="222222"/>
          <w:sz w:val="22"/>
        </w:rPr>
        <w:t xml:space="preserve">Bước 4 – chia: </w:t>
      </w:r>
      <w:r>
        <w:rPr>
          <w:rFonts w:ascii="Arial" w:hAnsi="Arial" w:eastAsia="Arial"/>
          <w:color w:val="222222"/>
          <w:sz w:val="22"/>
        </w:rPr>
        <w:t>Mỗi người hưởng 550/3 = 183,33 triệu đồng.</w:t>
      </w:r>
    </w:p>
    <w:p>
      <w:pPr>
        <w:spacing w:after="80"/>
      </w:pPr>
      <w:r>
        <w:rPr>
          <w:rFonts w:ascii="Arial" w:hAnsi="Arial" w:eastAsia="Arial"/>
          <w:b/>
          <w:color w:val="222222"/>
          <w:sz w:val="22"/>
        </w:rPr>
        <w:t xml:space="preserve">Kết quả cuối: </w:t>
      </w:r>
      <w:r>
        <w:rPr>
          <w:rFonts w:ascii="Arial" w:hAnsi="Arial" w:eastAsia="Arial"/>
          <w:color w:val="222222"/>
          <w:sz w:val="22"/>
        </w:rPr>
        <w:t>Bà M có 450 + 183,33 = 633,33 triệu; A và B mỗi người 183,33 triệu.</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Lưu ý chấm điểm: </w:t>
            </w:r>
            <w:r>
              <w:rPr>
                <w:rFonts w:ascii="Arial" w:hAnsi="Arial" w:eastAsia="Arial"/>
                <w:color w:val="17365D"/>
                <w:sz w:val="21"/>
              </w:rPr>
              <w:t>Không được lấy toàn bộ 1 tỷ đồng làm di sản; luôn tách tài sản chung trước.</w:t>
            </w:r>
          </w:p>
        </w:tc>
      </w:tr>
    </w:tbl>
    <w:p>
      <w:pPr>
        <w:spacing w:after="0"/>
      </w:pPr>
    </w:p>
    <w:p>
      <w:pPr>
        <w:pStyle w:val="Heading2"/>
      </w:pPr>
      <w:r>
        <w:t>Bài 9. Di chúc và người thừa kế bắt buộc</w:t>
      </w:r>
    </w:p>
    <w:p>
      <w:r>
        <w:rPr>
          <w:rFonts w:ascii="Arial" w:hAnsi="Arial" w:eastAsia="Arial"/>
          <w:b/>
          <w:color w:val="17365D"/>
          <w:sz w:val="22"/>
        </w:rPr>
        <w:t xml:space="preserve">Đề bài: </w:t>
      </w:r>
      <w:r>
        <w:rPr>
          <w:rFonts w:ascii="Arial" w:hAnsi="Arial" w:eastAsia="Arial"/>
          <w:color w:val="222222"/>
          <w:sz w:val="22"/>
        </w:rPr>
        <w:t>Ông X có di sản 900 triệu đồng, lập di chúc để lại toàn bộ cho bạn Y. Ông X còn vợ, một con 10 tuổi và một con 25 tuổi khỏe mạnh. Giả định di chúc hợp pháp và không ai từ chối nhận.</w:t>
      </w:r>
    </w:p>
    <w:p>
      <w:pPr>
        <w:pStyle w:val="Heading3"/>
      </w:pPr>
      <w:r>
        <w:t>Gợi ý giải</w:t>
      </w:r>
    </w:p>
    <w:p>
      <w:pPr>
        <w:spacing w:after="80"/>
      </w:pPr>
      <w:r>
        <w:rPr>
          <w:rFonts w:ascii="Arial" w:hAnsi="Arial" w:eastAsia="Arial"/>
          <w:b/>
          <w:color w:val="222222"/>
          <w:sz w:val="22"/>
        </w:rPr>
        <w:t xml:space="preserve">Suất theo pháp luật: </w:t>
      </w:r>
      <w:r>
        <w:rPr>
          <w:rFonts w:ascii="Arial" w:hAnsi="Arial" w:eastAsia="Arial"/>
          <w:color w:val="222222"/>
          <w:sz w:val="22"/>
        </w:rPr>
        <w:t>Nếu chia theo pháp luật, hàng thứ nhất gồm vợ và hai người con: mỗi suất 300 triệu.</w:t>
      </w:r>
    </w:p>
    <w:p>
      <w:pPr>
        <w:spacing w:after="80"/>
      </w:pPr>
      <w:r>
        <w:rPr>
          <w:rFonts w:ascii="Arial" w:hAnsi="Arial" w:eastAsia="Arial"/>
          <w:b/>
          <w:color w:val="222222"/>
          <w:sz w:val="22"/>
        </w:rPr>
        <w:t xml:space="preserve">Người hưởng bắt buộc: </w:t>
      </w:r>
      <w:r>
        <w:rPr>
          <w:rFonts w:ascii="Arial" w:hAnsi="Arial" w:eastAsia="Arial"/>
          <w:color w:val="222222"/>
          <w:sz w:val="22"/>
        </w:rPr>
        <w:t>Vợ và con 10 tuổi thuộc diện hưởng không phụ thuộc nội dung di chúc; người con 25 tuổi khỏe mạnh không thuộc diện này.</w:t>
      </w:r>
    </w:p>
    <w:p>
      <w:pPr>
        <w:spacing w:after="80"/>
      </w:pPr>
      <w:r>
        <w:rPr>
          <w:rFonts w:ascii="Arial" w:hAnsi="Arial" w:eastAsia="Arial"/>
          <w:b/>
          <w:color w:val="222222"/>
          <w:sz w:val="22"/>
        </w:rPr>
        <w:t xml:space="preserve">Phần bắt buộc: </w:t>
      </w:r>
      <w:r>
        <w:rPr>
          <w:rFonts w:ascii="Arial" w:hAnsi="Arial" w:eastAsia="Arial"/>
          <w:color w:val="222222"/>
          <w:sz w:val="22"/>
        </w:rPr>
        <w:t>Mỗi người thuộc diện bắt buộc hưởng ít nhất 2/3 suất pháp luật = 200 triệu.</w:t>
      </w:r>
    </w:p>
    <w:p>
      <w:pPr>
        <w:spacing w:after="80"/>
      </w:pPr>
      <w:r>
        <w:rPr>
          <w:rFonts w:ascii="Arial" w:hAnsi="Arial" w:eastAsia="Arial"/>
          <w:b/>
          <w:color w:val="222222"/>
          <w:sz w:val="22"/>
        </w:rPr>
        <w:t xml:space="preserve">Phần còn lại: </w:t>
      </w:r>
      <w:r>
        <w:rPr>
          <w:rFonts w:ascii="Arial" w:hAnsi="Arial" w:eastAsia="Arial"/>
          <w:color w:val="222222"/>
          <w:sz w:val="22"/>
        </w:rPr>
        <w:t>Y nhận 900 – 200 – 200 = 500 triệu, nếu không có nghĩa vụ và tình tiết khác.</w:t>
      </w:r>
    </w:p>
    <w:p>
      <w:pPr>
        <w:pStyle w:val="Heading2"/>
      </w:pPr>
      <w:r>
        <w:t>Bài 10. Tài sản khi chung sống không đăng ký kết hôn</w:t>
      </w:r>
    </w:p>
    <w:p>
      <w:r>
        <w:rPr>
          <w:rFonts w:ascii="Arial" w:hAnsi="Arial" w:eastAsia="Arial"/>
          <w:b/>
          <w:color w:val="17365D"/>
          <w:sz w:val="22"/>
        </w:rPr>
        <w:t xml:space="preserve">Đề bài: </w:t>
      </w:r>
      <w:r>
        <w:rPr>
          <w:rFonts w:ascii="Arial" w:hAnsi="Arial" w:eastAsia="Arial"/>
          <w:color w:val="222222"/>
          <w:sz w:val="22"/>
        </w:rPr>
        <w:t>Ông P đang có vợ hợp pháp nhưng chung sống với bà Q và cùng góp tiền mua nhà 1,2 tỷ đồng. Ông P chết. Có thể tự động coi bà Q là vợ và chia đôi nhà hay không?</w:t>
      </w:r>
    </w:p>
    <w:p>
      <w:pPr>
        <w:pStyle w:val="Heading3"/>
      </w:pPr>
      <w:r>
        <w:t>Gợi ý giải</w:t>
      </w:r>
    </w:p>
    <w:p>
      <w:pPr>
        <w:spacing w:after="80"/>
      </w:pPr>
      <w:r>
        <w:rPr>
          <w:rFonts w:ascii="Arial" w:hAnsi="Arial" w:eastAsia="Arial"/>
          <w:b/>
          <w:color w:val="222222"/>
          <w:sz w:val="22"/>
        </w:rPr>
        <w:t xml:space="preserve">Quan hệ hôn nhân: </w:t>
      </w:r>
      <w:r>
        <w:rPr>
          <w:rFonts w:ascii="Arial" w:hAnsi="Arial" w:eastAsia="Arial"/>
          <w:color w:val="222222"/>
          <w:sz w:val="22"/>
        </w:rPr>
        <w:t>Bà Q không đương nhiên là vợ hợp pháp và không thuộc hàng thừa kế với tư cách vợ.</w:t>
      </w:r>
    </w:p>
    <w:p>
      <w:pPr>
        <w:spacing w:after="80"/>
      </w:pPr>
      <w:r>
        <w:rPr>
          <w:rFonts w:ascii="Arial" w:hAnsi="Arial" w:eastAsia="Arial"/>
          <w:b/>
          <w:color w:val="222222"/>
          <w:sz w:val="22"/>
        </w:rPr>
        <w:t xml:space="preserve">Quan hệ tài sản: </w:t>
      </w:r>
      <w:r>
        <w:rPr>
          <w:rFonts w:ascii="Arial" w:hAnsi="Arial" w:eastAsia="Arial"/>
          <w:color w:val="222222"/>
          <w:sz w:val="22"/>
        </w:rPr>
        <w:t>Phải xác định công sức đóng góp và thỏa thuận để xác định phần sở hữu của từng người; không mặc nhiên 50/50 nếu không có căn cứ.</w:t>
      </w:r>
    </w:p>
    <w:p>
      <w:pPr>
        <w:spacing w:after="80"/>
      </w:pPr>
      <w:r>
        <w:rPr>
          <w:rFonts w:ascii="Arial" w:hAnsi="Arial" w:eastAsia="Arial"/>
          <w:b/>
          <w:color w:val="222222"/>
          <w:sz w:val="22"/>
        </w:rPr>
        <w:t xml:space="preserve">Di sản: </w:t>
      </w:r>
      <w:r>
        <w:rPr>
          <w:rFonts w:ascii="Arial" w:hAnsi="Arial" w:eastAsia="Arial"/>
          <w:color w:val="222222"/>
          <w:sz w:val="22"/>
        </w:rPr>
        <w:t>Chỉ phần tài sản thuộc ông P sau khi xác định đồng sở hữu mới là di sản.</w:t>
      </w:r>
    </w:p>
    <w:p>
      <w:pPr>
        <w:spacing w:after="80"/>
      </w:pPr>
      <w:r>
        <w:rPr>
          <w:rFonts w:ascii="Arial" w:hAnsi="Arial" w:eastAsia="Arial"/>
          <w:b/>
          <w:color w:val="222222"/>
          <w:sz w:val="22"/>
        </w:rPr>
        <w:t xml:space="preserve">Con chung: </w:t>
      </w:r>
      <w:r>
        <w:rPr>
          <w:rFonts w:ascii="Arial" w:hAnsi="Arial" w:eastAsia="Arial"/>
          <w:color w:val="222222"/>
          <w:sz w:val="22"/>
        </w:rPr>
        <w:t>Con của ông P, nếu quan hệ cha con được xác định, có quyền thừa kế bình đẳng với các con khác.</w:t>
      </w:r>
    </w:p>
    <w:p>
      <w:pPr>
        <w:pStyle w:val="Heading2"/>
      </w:pPr>
      <w:r>
        <w:t>Bài 11. Đơn phương chấm dứt hợp đồng lao động</w:t>
      </w:r>
    </w:p>
    <w:p>
      <w:r>
        <w:rPr>
          <w:rFonts w:ascii="Arial" w:hAnsi="Arial" w:eastAsia="Arial"/>
          <w:b/>
          <w:color w:val="17365D"/>
          <w:sz w:val="22"/>
        </w:rPr>
        <w:t xml:space="preserve">Đề bài: </w:t>
      </w:r>
      <w:r>
        <w:rPr>
          <w:rFonts w:ascii="Arial" w:hAnsi="Arial" w:eastAsia="Arial"/>
          <w:color w:val="222222"/>
          <w:sz w:val="22"/>
        </w:rPr>
        <w:t>Người lao động L làm theo hợp đồng không xác định thời hạn, gửi thông báo nghỉ việc trước 45 ngày và bàn giao công việc. Công ty không đồng ý nên giữ lương tháng cuối.</w:t>
      </w:r>
    </w:p>
    <w:p>
      <w:pPr>
        <w:pStyle w:val="Heading3"/>
      </w:pPr>
      <w:r>
        <w:t>Gợi ý giải</w:t>
      </w:r>
    </w:p>
    <w:p>
      <w:pPr>
        <w:spacing w:after="80"/>
      </w:pPr>
      <w:r>
        <w:rPr>
          <w:rFonts w:ascii="Arial" w:hAnsi="Arial" w:eastAsia="Arial"/>
          <w:b/>
          <w:color w:val="222222"/>
          <w:sz w:val="22"/>
        </w:rPr>
        <w:t xml:space="preserve">Quyền đơn phương: </w:t>
      </w:r>
      <w:r>
        <w:rPr>
          <w:rFonts w:ascii="Arial" w:hAnsi="Arial" w:eastAsia="Arial"/>
          <w:color w:val="222222"/>
          <w:sz w:val="22"/>
        </w:rPr>
        <w:t>Người lao động có quyền đơn phương chấm dứt hợp đồng khi tuân thủ thời hạn báo trước, trừ trường hợp được nghỉ không cần báo trước.</w:t>
      </w:r>
    </w:p>
    <w:p>
      <w:pPr>
        <w:spacing w:after="80"/>
      </w:pPr>
      <w:r>
        <w:rPr>
          <w:rFonts w:ascii="Arial" w:hAnsi="Arial" w:eastAsia="Arial"/>
          <w:b/>
          <w:color w:val="222222"/>
          <w:sz w:val="22"/>
        </w:rPr>
        <w:t xml:space="preserve">Đánh giá: </w:t>
      </w:r>
      <w:r>
        <w:rPr>
          <w:rFonts w:ascii="Arial" w:hAnsi="Arial" w:eastAsia="Arial"/>
          <w:color w:val="222222"/>
          <w:sz w:val="22"/>
        </w:rPr>
        <w:t>Nếu L thông báo hợp lệ trước 45 ngày và không có cam kết đặc biệt hợp pháp khác, việc công ty “không đồng ý” không làm mất quyền nghỉ.</w:t>
      </w:r>
    </w:p>
    <w:p>
      <w:pPr>
        <w:spacing w:after="80"/>
      </w:pPr>
      <w:r>
        <w:rPr>
          <w:rFonts w:ascii="Arial" w:hAnsi="Arial" w:eastAsia="Arial"/>
          <w:b/>
          <w:color w:val="222222"/>
          <w:sz w:val="22"/>
        </w:rPr>
        <w:t xml:space="preserve">Nghĩa vụ công ty: </w:t>
      </w:r>
      <w:r>
        <w:rPr>
          <w:rFonts w:ascii="Arial" w:hAnsi="Arial" w:eastAsia="Arial"/>
          <w:color w:val="222222"/>
          <w:sz w:val="22"/>
        </w:rPr>
        <w:t>Phải thanh toán các khoản liên quan trong thời hạn luật định, hoàn thành thủ tục bảo hiểm và xác nhận giấy tờ; không được giữ lương chỉ vì không đồng ý.</w:t>
      </w:r>
    </w:p>
    <w:p>
      <w:pPr>
        <w:pStyle w:val="Heading2"/>
      </w:pPr>
      <w:r>
        <w:t>Bài 12. Tranh chấp lao động có bắt buộc hòa giải?</w:t>
      </w:r>
    </w:p>
    <w:p>
      <w:r>
        <w:rPr>
          <w:rFonts w:ascii="Arial" w:hAnsi="Arial" w:eastAsia="Arial"/>
          <w:b/>
          <w:color w:val="17365D"/>
          <w:sz w:val="22"/>
        </w:rPr>
        <w:t xml:space="preserve">Đề bài: </w:t>
      </w:r>
      <w:r>
        <w:rPr>
          <w:rFonts w:ascii="Arial" w:hAnsi="Arial" w:eastAsia="Arial"/>
          <w:color w:val="222222"/>
          <w:sz w:val="22"/>
        </w:rPr>
        <w:t>Người lao động bị công ty sa thải và yêu cầu hủy quyết định, nhận trở lại làm việc. Có bắt buộc phải qua hòa giải viên trước khi khởi kiện không?</w:t>
      </w:r>
    </w:p>
    <w:p>
      <w:pPr>
        <w:pStyle w:val="Heading3"/>
      </w:pPr>
      <w:r>
        <w:t>Gợi ý giải</w:t>
      </w:r>
    </w:p>
    <w:p>
      <w:pPr>
        <w:spacing w:after="80"/>
      </w:pPr>
      <w:r>
        <w:rPr>
          <w:rFonts w:ascii="Arial" w:hAnsi="Arial" w:eastAsia="Arial"/>
          <w:b/>
          <w:color w:val="222222"/>
          <w:sz w:val="22"/>
        </w:rPr>
        <w:t xml:space="preserve">Loại tranh chấp: </w:t>
      </w:r>
      <w:r>
        <w:rPr>
          <w:rFonts w:ascii="Arial" w:hAnsi="Arial" w:eastAsia="Arial"/>
          <w:color w:val="222222"/>
          <w:sz w:val="22"/>
        </w:rPr>
        <w:t>Tranh chấp lao động cá nhân về xử lý kỷ luật sa thải.</w:t>
      </w:r>
    </w:p>
    <w:p>
      <w:pPr>
        <w:spacing w:after="80"/>
      </w:pPr>
      <w:r>
        <w:rPr>
          <w:rFonts w:ascii="Arial" w:hAnsi="Arial" w:eastAsia="Arial"/>
          <w:b/>
          <w:color w:val="222222"/>
          <w:sz w:val="22"/>
        </w:rPr>
        <w:t xml:space="preserve">Thủ tục: </w:t>
      </w:r>
      <w:r>
        <w:rPr>
          <w:rFonts w:ascii="Arial" w:hAnsi="Arial" w:eastAsia="Arial"/>
          <w:color w:val="222222"/>
          <w:sz w:val="22"/>
        </w:rPr>
        <w:t>Đây là nhóm tranh chấp không bắt buộc phải qua hòa giải viên lao động trước khi yêu cầu Tòa án giải quyết.</w:t>
      </w:r>
    </w:p>
    <w:p>
      <w:pPr>
        <w:spacing w:after="80"/>
      </w:pPr>
      <w:r>
        <w:rPr>
          <w:rFonts w:ascii="Arial" w:hAnsi="Arial" w:eastAsia="Arial"/>
          <w:b/>
          <w:color w:val="222222"/>
          <w:sz w:val="22"/>
        </w:rPr>
        <w:t xml:space="preserve">Lưu ý: </w:t>
      </w:r>
      <w:r>
        <w:rPr>
          <w:rFonts w:ascii="Arial" w:hAnsi="Arial" w:eastAsia="Arial"/>
          <w:color w:val="222222"/>
          <w:sz w:val="22"/>
        </w:rPr>
        <w:t>Người lao động vẫn có thể lựa chọn hòa giải nếu thấy phù hợp, nhưng phải chú ý thời hiệu yêu cầu giải quyết.</w:t>
      </w:r>
    </w:p>
    <w:p>
      <w:pPr>
        <w:pStyle w:val="Heading2"/>
      </w:pPr>
      <w:r>
        <w:t>Bài 13. Phân biệt tố cáo và khiếu nại</w:t>
      </w:r>
    </w:p>
    <w:p>
      <w:r>
        <w:rPr>
          <w:rFonts w:ascii="Arial" w:hAnsi="Arial" w:eastAsia="Arial"/>
          <w:b/>
          <w:color w:val="17365D"/>
          <w:sz w:val="22"/>
        </w:rPr>
        <w:t xml:space="preserve">Đề bài: </w:t>
      </w:r>
      <w:r>
        <w:rPr>
          <w:rFonts w:ascii="Arial" w:hAnsi="Arial" w:eastAsia="Arial"/>
          <w:color w:val="222222"/>
          <w:sz w:val="22"/>
        </w:rPr>
        <w:t>A bị Chủ tịch UBND ban hành quyết định xử phạt mà A cho là trái luật. B phát hiện cán bộ nhận hối lộ trong khi thi hành công vụ. A và B nên sử dụng cơ chế nào?</w:t>
      </w:r>
    </w:p>
    <w:p>
      <w:pPr>
        <w:pStyle w:val="Heading3"/>
      </w:pPr>
      <w:r>
        <w:t>Gợi ý giải</w:t>
      </w:r>
    </w:p>
    <w:p>
      <w:pPr>
        <w:spacing w:after="80"/>
      </w:pPr>
      <w:r>
        <w:rPr>
          <w:rFonts w:ascii="Arial" w:hAnsi="Arial" w:eastAsia="Arial"/>
          <w:b/>
          <w:color w:val="222222"/>
          <w:sz w:val="22"/>
        </w:rPr>
        <w:t xml:space="preserve">Trường hợp A: </w:t>
      </w:r>
      <w:r>
        <w:rPr>
          <w:rFonts w:ascii="Arial" w:hAnsi="Arial" w:eastAsia="Arial"/>
          <w:color w:val="222222"/>
          <w:sz w:val="22"/>
        </w:rPr>
        <w:t>Khiếu nại quyết định hành chính hoặc khởi kiện vụ án hành chính để bảo vệ quyền, lợi ích trực tiếp của mình.</w:t>
      </w:r>
    </w:p>
    <w:p>
      <w:pPr>
        <w:spacing w:after="80"/>
      </w:pPr>
      <w:r>
        <w:rPr>
          <w:rFonts w:ascii="Arial" w:hAnsi="Arial" w:eastAsia="Arial"/>
          <w:b/>
          <w:color w:val="222222"/>
          <w:sz w:val="22"/>
        </w:rPr>
        <w:t xml:space="preserve">Trường hợp B: </w:t>
      </w:r>
      <w:r>
        <w:rPr>
          <w:rFonts w:ascii="Arial" w:hAnsi="Arial" w:eastAsia="Arial"/>
          <w:color w:val="222222"/>
          <w:sz w:val="22"/>
        </w:rPr>
        <w:t>Tố cáo hành vi vi phạm pháp luật; nếu có dấu hiệu tội phạm thì thông tin có thể được chuyển đến cơ quan tiến hành tố tụng.</w:t>
      </w:r>
    </w:p>
    <w:p>
      <w:pPr>
        <w:spacing w:after="80"/>
      </w:pPr>
      <w:r>
        <w:rPr>
          <w:rFonts w:ascii="Arial" w:hAnsi="Arial" w:eastAsia="Arial"/>
          <w:b/>
          <w:color w:val="222222"/>
          <w:sz w:val="22"/>
        </w:rPr>
        <w:t xml:space="preserve">Phân biệt cốt lõi: </w:t>
      </w:r>
      <w:r>
        <w:rPr>
          <w:rFonts w:ascii="Arial" w:hAnsi="Arial" w:eastAsia="Arial"/>
          <w:color w:val="222222"/>
          <w:sz w:val="22"/>
        </w:rPr>
        <w:t>Khiếu nại hướng tới quyết định/hành vi xâm phạm trực tiếp quyền của người khiếu nại; tố cáo hướng tới hành vi vi phạm pháp luật.</w:t>
      </w:r>
    </w:p>
    <w:p>
      <w:pPr>
        <w:pStyle w:val="Heading2"/>
      </w:pPr>
      <w:r>
        <w:t>Bài 14. Hiệu lực của văn bản quy phạm pháp luật</w:t>
      </w:r>
    </w:p>
    <w:p>
      <w:r>
        <w:rPr>
          <w:rFonts w:ascii="Arial" w:hAnsi="Arial" w:eastAsia="Arial"/>
          <w:b/>
          <w:color w:val="17365D"/>
          <w:sz w:val="22"/>
        </w:rPr>
        <w:t xml:space="preserve">Đề bài: </w:t>
      </w:r>
      <w:r>
        <w:rPr>
          <w:rFonts w:ascii="Arial" w:hAnsi="Arial" w:eastAsia="Arial"/>
          <w:color w:val="222222"/>
          <w:sz w:val="22"/>
        </w:rPr>
        <w:t>Một thông tư quy định nghĩa vụ mới trái với luật do Quốc hội ban hành. Cơ quan áp dụng nên xử lý nhận thức pháp lý như thế nào?</w:t>
      </w:r>
    </w:p>
    <w:p>
      <w:pPr>
        <w:pStyle w:val="Heading3"/>
      </w:pPr>
      <w:r>
        <w:t>Gợi ý giải</w:t>
      </w:r>
    </w:p>
    <w:p>
      <w:pPr>
        <w:spacing w:after="80"/>
      </w:pPr>
      <w:r>
        <w:rPr>
          <w:rFonts w:ascii="Arial" w:hAnsi="Arial" w:eastAsia="Arial"/>
          <w:b/>
          <w:color w:val="222222"/>
          <w:sz w:val="22"/>
        </w:rPr>
        <w:t xml:space="preserve">Nguyên tắc: </w:t>
      </w:r>
      <w:r>
        <w:rPr>
          <w:rFonts w:ascii="Arial" w:hAnsi="Arial" w:eastAsia="Arial"/>
          <w:color w:val="222222"/>
          <w:sz w:val="22"/>
        </w:rPr>
        <w:t>Văn bản cấp dưới phải phù hợp văn bản có hiệu lực pháp lý cao hơn.</w:t>
      </w:r>
    </w:p>
    <w:p>
      <w:pPr>
        <w:spacing w:after="80"/>
      </w:pPr>
      <w:r>
        <w:rPr>
          <w:rFonts w:ascii="Arial" w:hAnsi="Arial" w:eastAsia="Arial"/>
          <w:b/>
          <w:color w:val="222222"/>
          <w:sz w:val="22"/>
        </w:rPr>
        <w:t xml:space="preserve">Áp dụng: </w:t>
      </w:r>
      <w:r>
        <w:rPr>
          <w:rFonts w:ascii="Arial" w:hAnsi="Arial" w:eastAsia="Arial"/>
          <w:color w:val="222222"/>
          <w:sz w:val="22"/>
        </w:rPr>
        <w:t>Không thể lấy thông tư trái luật làm căn cứ hợp pháp để hạn chế quyền hoặc đặt nghĩa vụ trái luật.</w:t>
      </w:r>
    </w:p>
    <w:p>
      <w:pPr>
        <w:spacing w:after="80"/>
      </w:pPr>
      <w:r>
        <w:rPr>
          <w:rFonts w:ascii="Arial" w:hAnsi="Arial" w:eastAsia="Arial"/>
          <w:b/>
          <w:color w:val="222222"/>
          <w:sz w:val="22"/>
        </w:rPr>
        <w:t xml:space="preserve">Xử lý văn bản: </w:t>
      </w:r>
      <w:r>
        <w:rPr>
          <w:rFonts w:ascii="Arial" w:hAnsi="Arial" w:eastAsia="Arial"/>
          <w:color w:val="222222"/>
          <w:sz w:val="22"/>
        </w:rPr>
        <w:t>Cơ quan, người có thẩm quyền phải kiểm tra, kiến nghị đình chỉ, bãi bỏ hoặc xử lý theo cơ chế kiểm tra văn bản; người học cần nêu đúng thẩm quyền cụ thể nếu đề cung cấp chủ thể ban hành.</w:t>
      </w:r>
    </w:p>
    <w:p>
      <w:pPr>
        <w:pStyle w:val="Heading2"/>
      </w:pPr>
      <w:r>
        <w:t>Bài 15. Bài tổng hợp trách nhiệm pháp lý</w:t>
      </w:r>
    </w:p>
    <w:p>
      <w:r>
        <w:rPr>
          <w:rFonts w:ascii="Arial" w:hAnsi="Arial" w:eastAsia="Arial"/>
          <w:b/>
          <w:color w:val="17365D"/>
          <w:sz w:val="22"/>
        </w:rPr>
        <w:t xml:space="preserve">Đề bài: </w:t>
      </w:r>
      <w:r>
        <w:rPr>
          <w:rFonts w:ascii="Arial" w:hAnsi="Arial" w:eastAsia="Arial"/>
          <w:color w:val="222222"/>
          <w:sz w:val="22"/>
        </w:rPr>
        <w:t>Nhân viên N cố ý làm hỏng máy của công ty trị giá 20 triệu đồng vì mâu thuẫn với quản lý. N đồng thời vi phạm nội quy lao động. Hãy xác định các loại trách nhiệm có thể phát sinh.</w:t>
      </w:r>
    </w:p>
    <w:p>
      <w:pPr>
        <w:pStyle w:val="Heading3"/>
      </w:pPr>
      <w:r>
        <w:t>Gợi ý giải</w:t>
      </w:r>
    </w:p>
    <w:p>
      <w:pPr>
        <w:spacing w:after="80"/>
      </w:pPr>
      <w:r>
        <w:rPr>
          <w:rFonts w:ascii="Arial" w:hAnsi="Arial" w:eastAsia="Arial"/>
          <w:b/>
          <w:color w:val="222222"/>
          <w:sz w:val="22"/>
        </w:rPr>
        <w:t xml:space="preserve">Kỷ luật lao động: </w:t>
      </w:r>
      <w:r>
        <w:rPr>
          <w:rFonts w:ascii="Arial" w:hAnsi="Arial" w:eastAsia="Arial"/>
          <w:color w:val="222222"/>
          <w:sz w:val="22"/>
        </w:rPr>
        <w:t>Có thể bị xử lý theo nội quy và Bộ luật Lao động nếu bảo đảm căn cứ, nguyên tắc, thời hiệu và thủ tục.</w:t>
      </w:r>
    </w:p>
    <w:p>
      <w:pPr>
        <w:spacing w:after="80"/>
      </w:pPr>
      <w:r>
        <w:rPr>
          <w:rFonts w:ascii="Arial" w:hAnsi="Arial" w:eastAsia="Arial"/>
          <w:b/>
          <w:color w:val="222222"/>
          <w:sz w:val="22"/>
        </w:rPr>
        <w:t xml:space="preserve">Dân sự/vật chất: </w:t>
      </w:r>
      <w:r>
        <w:rPr>
          <w:rFonts w:ascii="Arial" w:hAnsi="Arial" w:eastAsia="Arial"/>
          <w:color w:val="222222"/>
          <w:sz w:val="22"/>
        </w:rPr>
        <w:t>Có thể phải bồi thường thiệt hại theo căn cứ và phạm vi trách nhiệm phù hợp.</w:t>
      </w:r>
    </w:p>
    <w:p>
      <w:pPr>
        <w:spacing w:after="80"/>
      </w:pPr>
      <w:r>
        <w:rPr>
          <w:rFonts w:ascii="Arial" w:hAnsi="Arial" w:eastAsia="Arial"/>
          <w:b/>
          <w:color w:val="222222"/>
          <w:sz w:val="22"/>
        </w:rPr>
        <w:t xml:space="preserve">Hành chính hoặc hình sự: </w:t>
      </w:r>
      <w:r>
        <w:rPr>
          <w:rFonts w:ascii="Arial" w:hAnsi="Arial" w:eastAsia="Arial"/>
          <w:color w:val="222222"/>
          <w:sz w:val="22"/>
        </w:rPr>
        <w:t>Tùy giá trị, tính chất, hậu quả và các dấu hiệu luật định, hành vi hủy hoại tài sản có thể bị xử phạt hành chính hoặc truy cứu hình sự.</w:t>
      </w:r>
    </w:p>
    <w:p>
      <w:pPr>
        <w:spacing w:after="80"/>
      </w:pPr>
      <w:r>
        <w:rPr>
          <w:rFonts w:ascii="Arial" w:hAnsi="Arial" w:eastAsia="Arial"/>
          <w:b/>
          <w:color w:val="222222"/>
          <w:sz w:val="22"/>
        </w:rPr>
        <w:t xml:space="preserve">Nguyên tắc: </w:t>
      </w:r>
      <w:r>
        <w:rPr>
          <w:rFonts w:ascii="Arial" w:hAnsi="Arial" w:eastAsia="Arial"/>
          <w:color w:val="222222"/>
          <w:sz w:val="22"/>
        </w:rPr>
        <w:t>Một hành vi có thể làm phát sinh nhiều loại trách nhiệm có mục đích khác nhau; không được kết luận hình sự nếu chưa đủ dấu hiệu.</w:t>
      </w:r>
    </w:p>
    <w:p>
      <w:pPr>
        <w:pStyle w:val="Heading2"/>
      </w:pPr>
      <w:r>
        <w:t>Bài 16. Năng lực hành vi dân sự của người chưa thành niên</w:t>
      </w:r>
    </w:p>
    <w:p>
      <w:r>
        <w:rPr>
          <w:rFonts w:ascii="Arial" w:hAnsi="Arial" w:eastAsia="Arial"/>
          <w:b/>
          <w:color w:val="17365D"/>
          <w:sz w:val="22"/>
        </w:rPr>
        <w:t xml:space="preserve">Đề bài: </w:t>
      </w:r>
      <w:r>
        <w:rPr>
          <w:rFonts w:ascii="Arial" w:hAnsi="Arial" w:eastAsia="Arial"/>
          <w:color w:val="222222"/>
          <w:sz w:val="22"/>
        </w:rPr>
        <w:t>M, 16 tuổi, tự mua xe máy trị giá 45 triệu đồng bằng tiền tiết kiệm mà không có sự đồng ý của cha mẹ. Giao dịch có đương nhiên có hiệu lực không?</w:t>
      </w:r>
    </w:p>
    <w:p>
      <w:pPr>
        <w:pStyle w:val="Heading3"/>
      </w:pPr>
      <w:r>
        <w:t>Gợi ý giải</w:t>
      </w:r>
    </w:p>
    <w:p>
      <w:pPr>
        <w:spacing w:after="80"/>
      </w:pPr>
      <w:r>
        <w:rPr>
          <w:rFonts w:ascii="Arial" w:hAnsi="Arial" w:eastAsia="Arial"/>
          <w:b/>
          <w:color w:val="222222"/>
          <w:sz w:val="22"/>
        </w:rPr>
        <w:t xml:space="preserve">Vấn đề pháp lý: </w:t>
      </w:r>
      <w:r>
        <w:rPr>
          <w:rFonts w:ascii="Arial" w:hAnsi="Arial" w:eastAsia="Arial"/>
          <w:color w:val="222222"/>
          <w:sz w:val="22"/>
        </w:rPr>
        <w:t>M là người từ đủ 15 đến dưới 18 tuổi; có thể tự mình xác lập nhiều giao dịch nhưng giao dịch liên quan bất động sản, động sản phải đăng ký và giao dịch khác theo luật có thể cần người đại diện đồng ý.</w:t>
      </w:r>
    </w:p>
    <w:p>
      <w:pPr>
        <w:spacing w:after="80"/>
      </w:pPr>
      <w:r>
        <w:rPr>
          <w:rFonts w:ascii="Arial" w:hAnsi="Arial" w:eastAsia="Arial"/>
          <w:b/>
          <w:color w:val="222222"/>
          <w:sz w:val="22"/>
        </w:rPr>
        <w:t xml:space="preserve">Đánh giá: </w:t>
      </w:r>
      <w:r>
        <w:rPr>
          <w:rFonts w:ascii="Arial" w:hAnsi="Arial" w:eastAsia="Arial"/>
          <w:color w:val="222222"/>
          <w:sz w:val="22"/>
        </w:rPr>
        <w:t>Xe máy là động sản phải đăng ký. Cần sự đồng ý của người đại diện theo pháp luật; thiếu sự đồng ý có thể dẫn đến giao dịch vô hiệu theo yêu cầu của chủ thể có quyền.</w:t>
      </w:r>
    </w:p>
    <w:p>
      <w:pPr>
        <w:spacing w:after="80"/>
      </w:pPr>
      <w:r>
        <w:rPr>
          <w:rFonts w:ascii="Arial" w:hAnsi="Arial" w:eastAsia="Arial"/>
          <w:b/>
          <w:color w:val="222222"/>
          <w:sz w:val="22"/>
        </w:rPr>
        <w:t xml:space="preserve">Lưu ý: </w:t>
      </w:r>
      <w:r>
        <w:rPr>
          <w:rFonts w:ascii="Arial" w:hAnsi="Arial" w:eastAsia="Arial"/>
          <w:color w:val="222222"/>
          <w:sz w:val="22"/>
        </w:rPr>
        <w:t>Không được kết luận mọi giao dịch của người dưới 18 tuổi đều vô hiệu; phải xét nhóm tuổi, loại tài sản và nguồn tài sản.</w:t>
      </w:r>
    </w:p>
    <w:p>
      <w:pPr>
        <w:pStyle w:val="Heading2"/>
      </w:pPr>
      <w:r>
        <w:t>Bài 17. Giao dịch dân sự do bị lừa dối</w:t>
      </w:r>
    </w:p>
    <w:p>
      <w:r>
        <w:rPr>
          <w:rFonts w:ascii="Arial" w:hAnsi="Arial" w:eastAsia="Arial"/>
          <w:b/>
          <w:color w:val="17365D"/>
          <w:sz w:val="22"/>
        </w:rPr>
        <w:t xml:space="preserve">Đề bài: </w:t>
      </w:r>
      <w:r>
        <w:rPr>
          <w:rFonts w:ascii="Arial" w:hAnsi="Arial" w:eastAsia="Arial"/>
          <w:color w:val="222222"/>
          <w:sz w:val="22"/>
        </w:rPr>
        <w:t>B biết mảnh đất đang tranh chấp nhưng cố ý che giấu, cung cấp giấy tờ làm A tin đất không có tranh chấp và ký hợp đồng. A phát hiện sau khi đã trả tiền.</w:t>
      </w:r>
    </w:p>
    <w:p>
      <w:pPr>
        <w:pStyle w:val="Heading3"/>
      </w:pPr>
      <w:r>
        <w:t>Gợi ý giải</w:t>
      </w:r>
    </w:p>
    <w:p>
      <w:pPr>
        <w:spacing w:after="80"/>
      </w:pPr>
      <w:r>
        <w:rPr>
          <w:rFonts w:ascii="Arial" w:hAnsi="Arial" w:eastAsia="Arial"/>
          <w:b/>
          <w:color w:val="222222"/>
          <w:sz w:val="22"/>
        </w:rPr>
        <w:t xml:space="preserve">Hành vi: </w:t>
      </w:r>
      <w:r>
        <w:rPr>
          <w:rFonts w:ascii="Arial" w:hAnsi="Arial" w:eastAsia="Arial"/>
          <w:color w:val="222222"/>
          <w:sz w:val="22"/>
        </w:rPr>
        <w:t>B cố ý đưa thông tin sai hoặc che giấu thông tin quan trọng làm A hiểu sai và giao kết.</w:t>
      </w:r>
    </w:p>
    <w:p>
      <w:pPr>
        <w:spacing w:after="80"/>
      </w:pPr>
      <w:r>
        <w:rPr>
          <w:rFonts w:ascii="Arial" w:hAnsi="Arial" w:eastAsia="Arial"/>
          <w:b/>
          <w:color w:val="222222"/>
          <w:sz w:val="22"/>
        </w:rPr>
        <w:t xml:space="preserve">Hậu quả pháp lý: </w:t>
      </w:r>
      <w:r>
        <w:rPr>
          <w:rFonts w:ascii="Arial" w:hAnsi="Arial" w:eastAsia="Arial"/>
          <w:color w:val="222222"/>
          <w:sz w:val="22"/>
        </w:rPr>
        <w:t>A có thể yêu cầu Tòa án tuyên giao dịch vô hiệu do bị lừa dối trong thời hiệu luật định.</w:t>
      </w:r>
    </w:p>
    <w:p>
      <w:pPr>
        <w:spacing w:after="80"/>
      </w:pPr>
      <w:r>
        <w:rPr>
          <w:rFonts w:ascii="Arial" w:hAnsi="Arial" w:eastAsia="Arial"/>
          <w:b/>
          <w:color w:val="222222"/>
          <w:sz w:val="22"/>
        </w:rPr>
        <w:t xml:space="preserve">Giải quyết hậu quả: </w:t>
      </w:r>
      <w:r>
        <w:rPr>
          <w:rFonts w:ascii="Arial" w:hAnsi="Arial" w:eastAsia="Arial"/>
          <w:color w:val="222222"/>
          <w:sz w:val="22"/>
        </w:rPr>
        <w:t>Các bên hoàn trả cho nhau những gì đã nhận; bên có lỗi gây thiệt hại phải bồi thường.</w:t>
      </w:r>
    </w:p>
    <w:p>
      <w:pPr>
        <w:spacing w:after="80"/>
      </w:pPr>
      <w:r>
        <w:rPr>
          <w:rFonts w:ascii="Arial" w:hAnsi="Arial" w:eastAsia="Arial"/>
          <w:b/>
          <w:color w:val="222222"/>
          <w:sz w:val="22"/>
        </w:rPr>
        <w:t xml:space="preserve">Phân biệt: </w:t>
      </w:r>
      <w:r>
        <w:rPr>
          <w:rFonts w:ascii="Arial" w:hAnsi="Arial" w:eastAsia="Arial"/>
          <w:color w:val="222222"/>
          <w:sz w:val="22"/>
        </w:rPr>
        <w:t>Không phải mọi vi phạm thông tin đều là tội lừa đảo; trách nhiệm hình sự chỉ đặt ra khi đủ dấu hiệu tội phạm và ý định chiếm đoạt.</w:t>
      </w:r>
    </w:p>
    <w:p>
      <w:pPr>
        <w:pStyle w:val="Heading2"/>
      </w:pPr>
      <w:r>
        <w:t>Bài 18. Bồi thường thiệt hại ngoài hợp đồng</w:t>
      </w:r>
    </w:p>
    <w:p>
      <w:r>
        <w:rPr>
          <w:rFonts w:ascii="Arial" w:hAnsi="Arial" w:eastAsia="Arial"/>
          <w:b/>
          <w:color w:val="17365D"/>
          <w:sz w:val="22"/>
        </w:rPr>
        <w:t xml:space="preserve">Đề bài: </w:t>
      </w:r>
      <w:r>
        <w:rPr>
          <w:rFonts w:ascii="Arial" w:hAnsi="Arial" w:eastAsia="Arial"/>
          <w:color w:val="222222"/>
          <w:sz w:val="22"/>
        </w:rPr>
        <w:t>C vô ý làm rơi chậu cây từ ban công, làm hỏng xe của D đang đỗ đúng nơi quy định. Chi phí sửa xe 18 triệu đồng.</w:t>
      </w:r>
    </w:p>
    <w:p>
      <w:pPr>
        <w:pStyle w:val="Heading3"/>
      </w:pPr>
      <w:r>
        <w:t>Gợi ý giải</w:t>
      </w:r>
    </w:p>
    <w:p>
      <w:pPr>
        <w:spacing w:after="80"/>
      </w:pPr>
      <w:r>
        <w:rPr>
          <w:rFonts w:ascii="Arial" w:hAnsi="Arial" w:eastAsia="Arial"/>
          <w:b/>
          <w:color w:val="222222"/>
          <w:sz w:val="22"/>
        </w:rPr>
        <w:t xml:space="preserve">Căn cứ: </w:t>
      </w:r>
      <w:r>
        <w:rPr>
          <w:rFonts w:ascii="Arial" w:hAnsi="Arial" w:eastAsia="Arial"/>
          <w:color w:val="222222"/>
          <w:sz w:val="22"/>
        </w:rPr>
        <w:t>Có thiệt hại thực tế, hành vi gây thiệt hại, quan hệ nhân quả và lỗi vô ý.</w:t>
      </w:r>
    </w:p>
    <w:p>
      <w:pPr>
        <w:spacing w:after="80"/>
      </w:pPr>
      <w:r>
        <w:rPr>
          <w:rFonts w:ascii="Arial" w:hAnsi="Arial" w:eastAsia="Arial"/>
          <w:b/>
          <w:color w:val="222222"/>
          <w:sz w:val="22"/>
        </w:rPr>
        <w:t xml:space="preserve">Trách nhiệm: </w:t>
      </w:r>
      <w:r>
        <w:rPr>
          <w:rFonts w:ascii="Arial" w:hAnsi="Arial" w:eastAsia="Arial"/>
          <w:color w:val="222222"/>
          <w:sz w:val="22"/>
        </w:rPr>
        <w:t>C phải bồi thường thiệt hại hợp lý để khôi phục tình trạng tài sản; các bên có thể thỏa thuận mức và phương thức.</w:t>
      </w:r>
    </w:p>
    <w:p>
      <w:pPr>
        <w:spacing w:after="80"/>
      </w:pPr>
      <w:r>
        <w:rPr>
          <w:rFonts w:ascii="Arial" w:hAnsi="Arial" w:eastAsia="Arial"/>
          <w:b/>
          <w:color w:val="222222"/>
          <w:sz w:val="22"/>
        </w:rPr>
        <w:t xml:space="preserve">Thiệt hại: </w:t>
      </w:r>
      <w:r>
        <w:rPr>
          <w:rFonts w:ascii="Arial" w:hAnsi="Arial" w:eastAsia="Arial"/>
          <w:color w:val="222222"/>
          <w:sz w:val="22"/>
        </w:rPr>
        <w:t>Chi phí sửa chữa hợp lý, thiệt hại do không khai thác được tài sản nếu chứng minh được và khoản khác theo luật.</w:t>
      </w:r>
    </w:p>
    <w:p>
      <w:pPr>
        <w:spacing w:after="80"/>
      </w:pPr>
      <w:r>
        <w:rPr>
          <w:rFonts w:ascii="Arial" w:hAnsi="Arial" w:eastAsia="Arial"/>
          <w:b/>
          <w:color w:val="222222"/>
          <w:sz w:val="22"/>
        </w:rPr>
        <w:t xml:space="preserve">Giảm trách nhiệm: </w:t>
      </w:r>
      <w:r>
        <w:rPr>
          <w:rFonts w:ascii="Arial" w:hAnsi="Arial" w:eastAsia="Arial"/>
          <w:color w:val="222222"/>
          <w:sz w:val="22"/>
        </w:rPr>
        <w:t>Chỉ xem xét nếu D cũng có lỗi hoặc có căn cứ khác theo luật; dữ kiện cho thấy D đỗ đúng nơi.</w:t>
      </w:r>
    </w:p>
    <w:p>
      <w:pPr>
        <w:pStyle w:val="Heading2"/>
      </w:pPr>
      <w:r>
        <w:t>Bài 19. Chiếm hữu ngay tình</w:t>
      </w:r>
    </w:p>
    <w:p>
      <w:r>
        <w:rPr>
          <w:rFonts w:ascii="Arial" w:hAnsi="Arial" w:eastAsia="Arial"/>
          <w:b/>
          <w:color w:val="17365D"/>
          <w:sz w:val="22"/>
        </w:rPr>
        <w:t xml:space="preserve">Đề bài: </w:t>
      </w:r>
      <w:r>
        <w:rPr>
          <w:rFonts w:ascii="Arial" w:hAnsi="Arial" w:eastAsia="Arial"/>
          <w:color w:val="222222"/>
          <w:sz w:val="22"/>
        </w:rPr>
        <w:t>A mua chiếc đồng hồ từ B tại cửa hàng, có hóa đơn và không biết B không phải chủ sở hữu. Chủ thật sự C yêu cầu A trả lại.</w:t>
      </w:r>
    </w:p>
    <w:p>
      <w:pPr>
        <w:pStyle w:val="Heading3"/>
      </w:pPr>
      <w:r>
        <w:t>Gợi ý giải</w:t>
      </w:r>
    </w:p>
    <w:p>
      <w:pPr>
        <w:spacing w:after="80"/>
      </w:pPr>
      <w:r>
        <w:rPr>
          <w:rFonts w:ascii="Arial" w:hAnsi="Arial" w:eastAsia="Arial"/>
          <w:b/>
          <w:color w:val="222222"/>
          <w:sz w:val="22"/>
        </w:rPr>
        <w:t xml:space="preserve">Vấn đề: </w:t>
      </w:r>
      <w:r>
        <w:rPr>
          <w:rFonts w:ascii="Arial" w:hAnsi="Arial" w:eastAsia="Arial"/>
          <w:color w:val="222222"/>
          <w:sz w:val="22"/>
        </w:rPr>
        <w:t>A có thể là người chiếm hữu ngay tình; tuy nhiên ngay tình không tự động làm phát sinh quyền sở hữu.</w:t>
      </w:r>
    </w:p>
    <w:p>
      <w:pPr>
        <w:spacing w:after="80"/>
      </w:pPr>
      <w:r>
        <w:rPr>
          <w:rFonts w:ascii="Arial" w:hAnsi="Arial" w:eastAsia="Arial"/>
          <w:b/>
          <w:color w:val="222222"/>
          <w:sz w:val="22"/>
        </w:rPr>
        <w:t xml:space="preserve">Phân tích: </w:t>
      </w:r>
      <w:r>
        <w:rPr>
          <w:rFonts w:ascii="Arial" w:hAnsi="Arial" w:eastAsia="Arial"/>
          <w:color w:val="222222"/>
          <w:sz w:val="22"/>
        </w:rPr>
        <w:t>Cần xác định tài sản bị mất, bị trộm hay được chủ sở hữu giao cho người khác; giao dịch có đền bù hay không; thời hiệu và trường hợp bảo vệ người thứ ba ngay tình.</w:t>
      </w:r>
    </w:p>
    <w:p>
      <w:pPr>
        <w:spacing w:after="80"/>
      </w:pPr>
      <w:r>
        <w:rPr>
          <w:rFonts w:ascii="Arial" w:hAnsi="Arial" w:eastAsia="Arial"/>
          <w:b/>
          <w:color w:val="222222"/>
          <w:sz w:val="22"/>
        </w:rPr>
        <w:t xml:space="preserve">Kết luận: </w:t>
      </w:r>
      <w:r>
        <w:rPr>
          <w:rFonts w:ascii="Arial" w:hAnsi="Arial" w:eastAsia="Arial"/>
          <w:color w:val="222222"/>
          <w:sz w:val="22"/>
        </w:rPr>
        <w:t>Không đủ dữ kiện để khẳng định A được giữ hay phải trả; bài đúng phải phân nhánh theo nguồn gốc tài sản.</w:t>
      </w:r>
    </w:p>
    <w:p>
      <w:pPr>
        <w:pStyle w:val="Heading2"/>
      </w:pPr>
      <w:r>
        <w:t>Bài 20. Thừa kế thế vị</w:t>
      </w:r>
    </w:p>
    <w:p>
      <w:r>
        <w:rPr>
          <w:rFonts w:ascii="Arial" w:hAnsi="Arial" w:eastAsia="Arial"/>
          <w:b/>
          <w:color w:val="17365D"/>
          <w:sz w:val="22"/>
        </w:rPr>
        <w:t xml:space="preserve">Đề bài: </w:t>
      </w:r>
      <w:r>
        <w:rPr>
          <w:rFonts w:ascii="Arial" w:hAnsi="Arial" w:eastAsia="Arial"/>
          <w:color w:val="222222"/>
          <w:sz w:val="22"/>
        </w:rPr>
        <w:t>Ông X chết không để lại di chúc. X có vợ Y, con A và con B. A đã chết trước X và có hai con A1, A2. Cha mẹ X đã mất.</w:t>
      </w:r>
    </w:p>
    <w:p>
      <w:pPr>
        <w:pStyle w:val="Heading3"/>
      </w:pPr>
      <w:r>
        <w:t>Gợi ý giải</w:t>
      </w:r>
    </w:p>
    <w:p>
      <w:pPr>
        <w:spacing w:after="80"/>
      </w:pPr>
      <w:r>
        <w:rPr>
          <w:rFonts w:ascii="Arial" w:hAnsi="Arial" w:eastAsia="Arial"/>
          <w:b/>
          <w:color w:val="222222"/>
          <w:sz w:val="22"/>
        </w:rPr>
        <w:t xml:space="preserve">Hàng thừa kế: </w:t>
      </w:r>
      <w:r>
        <w:rPr>
          <w:rFonts w:ascii="Arial" w:hAnsi="Arial" w:eastAsia="Arial"/>
          <w:color w:val="222222"/>
          <w:sz w:val="22"/>
        </w:rPr>
        <w:t>Y, A và B thuộc hàng thứ nhất; do A chết trước, A1 và A2 được thừa kế thế vị phần A đáng lẽ được hưởng.</w:t>
      </w:r>
    </w:p>
    <w:p>
      <w:pPr>
        <w:spacing w:after="80"/>
      </w:pPr>
      <w:r>
        <w:rPr>
          <w:rFonts w:ascii="Arial" w:hAnsi="Arial" w:eastAsia="Arial"/>
          <w:b/>
          <w:color w:val="222222"/>
          <w:sz w:val="22"/>
        </w:rPr>
        <w:t xml:space="preserve">Cách chia: </w:t>
      </w:r>
      <w:r>
        <w:rPr>
          <w:rFonts w:ascii="Arial" w:hAnsi="Arial" w:eastAsia="Arial"/>
          <w:color w:val="222222"/>
          <w:sz w:val="22"/>
        </w:rPr>
        <w:t>Di sản chia thành ba suất: Y một suất, B một suất, nhánh A một suất.</w:t>
      </w:r>
    </w:p>
    <w:p>
      <w:pPr>
        <w:spacing w:after="80"/>
      </w:pPr>
      <w:r>
        <w:rPr>
          <w:rFonts w:ascii="Arial" w:hAnsi="Arial" w:eastAsia="Arial"/>
          <w:b/>
          <w:color w:val="222222"/>
          <w:sz w:val="22"/>
        </w:rPr>
        <w:t xml:space="preserve">Trong nhánh A: </w:t>
      </w:r>
      <w:r>
        <w:rPr>
          <w:rFonts w:ascii="Arial" w:hAnsi="Arial" w:eastAsia="Arial"/>
          <w:color w:val="222222"/>
          <w:sz w:val="22"/>
        </w:rPr>
        <w:t>A1 và A2 chia đều suất của A.</w:t>
      </w:r>
    </w:p>
    <w:p>
      <w:pPr>
        <w:spacing w:after="80"/>
      </w:pPr>
      <w:r>
        <w:rPr>
          <w:rFonts w:ascii="Arial" w:hAnsi="Arial" w:eastAsia="Arial"/>
          <w:b/>
          <w:color w:val="222222"/>
          <w:sz w:val="22"/>
        </w:rPr>
        <w:t xml:space="preserve">Lưu ý: </w:t>
      </w:r>
      <w:r>
        <w:rPr>
          <w:rFonts w:ascii="Arial" w:hAnsi="Arial" w:eastAsia="Arial"/>
          <w:color w:val="222222"/>
          <w:sz w:val="22"/>
        </w:rPr>
        <w:t>Không tính A1, A2 thành hai suất ngang độc lập với Y và B.</w:t>
      </w:r>
    </w:p>
    <w:p>
      <w:pPr>
        <w:pStyle w:val="Heading2"/>
      </w:pPr>
      <w:r>
        <w:t>Bài 21. Người không được quyền hưởng di sản</w:t>
      </w:r>
    </w:p>
    <w:p>
      <w:r>
        <w:rPr>
          <w:rFonts w:ascii="Arial" w:hAnsi="Arial" w:eastAsia="Arial"/>
          <w:b/>
          <w:color w:val="17365D"/>
          <w:sz w:val="22"/>
        </w:rPr>
        <w:t xml:space="preserve">Đề bài: </w:t>
      </w:r>
      <w:r>
        <w:rPr>
          <w:rFonts w:ascii="Arial" w:hAnsi="Arial" w:eastAsia="Arial"/>
          <w:color w:val="222222"/>
          <w:sz w:val="22"/>
        </w:rPr>
        <w:t>K cố ý xâm phạm nghiêm trọng tính mạng của cha là ông P để sớm được nhận thừa kế. Sau đó P vẫn lập di chúc cho K và ghi rõ biết hành vi của K.</w:t>
      </w:r>
    </w:p>
    <w:p>
      <w:pPr>
        <w:pStyle w:val="Heading3"/>
      </w:pPr>
      <w:r>
        <w:t>Gợi ý giải</w:t>
      </w:r>
    </w:p>
    <w:p>
      <w:pPr>
        <w:spacing w:after="80"/>
      </w:pPr>
      <w:r>
        <w:rPr>
          <w:rFonts w:ascii="Arial" w:hAnsi="Arial" w:eastAsia="Arial"/>
          <w:b/>
          <w:color w:val="222222"/>
          <w:sz w:val="22"/>
        </w:rPr>
        <w:t xml:space="preserve">Nguyên tắc: </w:t>
      </w:r>
      <w:r>
        <w:rPr>
          <w:rFonts w:ascii="Arial" w:hAnsi="Arial" w:eastAsia="Arial"/>
          <w:color w:val="222222"/>
          <w:sz w:val="22"/>
        </w:rPr>
        <w:t>Người có hành vi cố ý xâm phạm tính mạng người để lại di sản thuộc nhóm không được quyền hưởng.</w:t>
      </w:r>
    </w:p>
    <w:p>
      <w:pPr>
        <w:spacing w:after="80"/>
      </w:pPr>
      <w:r>
        <w:rPr>
          <w:rFonts w:ascii="Arial" w:hAnsi="Arial" w:eastAsia="Arial"/>
          <w:b/>
          <w:color w:val="222222"/>
          <w:sz w:val="22"/>
        </w:rPr>
        <w:t xml:space="preserve">Ngoại lệ: </w:t>
      </w:r>
      <w:r>
        <w:rPr>
          <w:rFonts w:ascii="Arial" w:hAnsi="Arial" w:eastAsia="Arial"/>
          <w:color w:val="222222"/>
          <w:sz w:val="22"/>
        </w:rPr>
        <w:t>Nếu người để lại di sản đã biết hành vi mà vẫn cho hưởng theo di chúc, người đó vẫn có thể được hưởng theo ý chí này.</w:t>
      </w:r>
    </w:p>
    <w:p>
      <w:pPr>
        <w:spacing w:after="80"/>
      </w:pPr>
      <w:r>
        <w:rPr>
          <w:rFonts w:ascii="Arial" w:hAnsi="Arial" w:eastAsia="Arial"/>
          <w:b/>
          <w:color w:val="222222"/>
          <w:sz w:val="22"/>
        </w:rPr>
        <w:t xml:space="preserve">Yêu cầu chứng minh: </w:t>
      </w:r>
      <w:r>
        <w:rPr>
          <w:rFonts w:ascii="Arial" w:hAnsi="Arial" w:eastAsia="Arial"/>
          <w:color w:val="222222"/>
          <w:sz w:val="22"/>
        </w:rPr>
        <w:t>Phải chứng minh P biết rõ hành vi và ý chí cho hưởng là tự nguyện, hợp pháp.</w:t>
      </w:r>
    </w:p>
    <w:p>
      <w:pPr>
        <w:pStyle w:val="Heading2"/>
      </w:pPr>
      <w:r>
        <w:t>Bài 22. Kết hôn trái pháp luật</w:t>
      </w:r>
    </w:p>
    <w:p>
      <w:r>
        <w:rPr>
          <w:rFonts w:ascii="Arial" w:hAnsi="Arial" w:eastAsia="Arial"/>
          <w:b/>
          <w:color w:val="17365D"/>
          <w:sz w:val="22"/>
        </w:rPr>
        <w:t xml:space="preserve">Đề bài: </w:t>
      </w:r>
      <w:r>
        <w:rPr>
          <w:rFonts w:ascii="Arial" w:hAnsi="Arial" w:eastAsia="Arial"/>
          <w:color w:val="222222"/>
          <w:sz w:val="22"/>
        </w:rPr>
        <w:t>Nam 19 tuổi và nữ 17 tuổi tổ chức cưới, sống chung nhưng không đăng ký. Một năm sau họ có con. Xác định quan hệ pháp lý.</w:t>
      </w:r>
    </w:p>
    <w:p>
      <w:pPr>
        <w:pStyle w:val="Heading3"/>
      </w:pPr>
      <w:r>
        <w:t>Gợi ý giải</w:t>
      </w:r>
    </w:p>
    <w:p>
      <w:pPr>
        <w:spacing w:after="80"/>
      </w:pPr>
      <w:r>
        <w:rPr>
          <w:rFonts w:ascii="Arial" w:hAnsi="Arial" w:eastAsia="Arial"/>
          <w:b/>
          <w:color w:val="222222"/>
          <w:sz w:val="22"/>
        </w:rPr>
        <w:t xml:space="preserve">Hôn nhân: </w:t>
      </w:r>
      <w:r>
        <w:rPr>
          <w:rFonts w:ascii="Arial" w:hAnsi="Arial" w:eastAsia="Arial"/>
          <w:color w:val="222222"/>
          <w:sz w:val="22"/>
        </w:rPr>
        <w:t>Tại thời điểm chung sống, nữ chưa đủ tuổi kết hôn và hai người không đăng ký; không phát sinh quan hệ vợ chồng hợp pháp.</w:t>
      </w:r>
    </w:p>
    <w:p>
      <w:pPr>
        <w:spacing w:after="80"/>
      </w:pPr>
      <w:r>
        <w:rPr>
          <w:rFonts w:ascii="Arial" w:hAnsi="Arial" w:eastAsia="Arial"/>
          <w:b/>
          <w:color w:val="222222"/>
          <w:sz w:val="22"/>
        </w:rPr>
        <w:t xml:space="preserve">Con chung: </w:t>
      </w:r>
      <w:r>
        <w:rPr>
          <w:rFonts w:ascii="Arial" w:hAnsi="Arial" w:eastAsia="Arial"/>
          <w:color w:val="222222"/>
          <w:sz w:val="22"/>
        </w:rPr>
        <w:t>Quyền, nghĩa vụ cha mẹ con vẫn được xác định và bảo vệ; cần đăng ký khai sinh, xác định cha nếu cần.</w:t>
      </w:r>
    </w:p>
    <w:p>
      <w:pPr>
        <w:spacing w:after="80"/>
      </w:pPr>
      <w:r>
        <w:rPr>
          <w:rFonts w:ascii="Arial" w:hAnsi="Arial" w:eastAsia="Arial"/>
          <w:b/>
          <w:color w:val="222222"/>
          <w:sz w:val="22"/>
        </w:rPr>
        <w:t xml:space="preserve">Tài sản: </w:t>
      </w:r>
      <w:r>
        <w:rPr>
          <w:rFonts w:ascii="Arial" w:hAnsi="Arial" w:eastAsia="Arial"/>
          <w:color w:val="222222"/>
          <w:sz w:val="22"/>
        </w:rPr>
        <w:t>Giải quyết theo thỏa thuận; nếu không thỏa thuận thì theo pháp luật dân sự, có tính đến công sức đóng góp và bảo vệ phụ nữ, trẻ em.</w:t>
      </w:r>
    </w:p>
    <w:p>
      <w:pPr>
        <w:spacing w:after="80"/>
      </w:pPr>
      <w:r>
        <w:rPr>
          <w:rFonts w:ascii="Arial" w:hAnsi="Arial" w:eastAsia="Arial"/>
          <w:b/>
          <w:color w:val="222222"/>
          <w:sz w:val="22"/>
        </w:rPr>
        <w:t xml:space="preserve">Sau khi đủ điều kiện: </w:t>
      </w:r>
      <w:r>
        <w:rPr>
          <w:rFonts w:ascii="Arial" w:hAnsi="Arial" w:eastAsia="Arial"/>
          <w:color w:val="222222"/>
          <w:sz w:val="22"/>
        </w:rPr>
        <w:t>Nếu muốn xác lập hôn nhân, hai người phải thực hiện đăng ký; thời điểm có hiệu lực tính từ đăng ký.</w:t>
      </w:r>
    </w:p>
    <w:p>
      <w:pPr>
        <w:pStyle w:val="Heading2"/>
      </w:pPr>
      <w:r>
        <w:t>Bài 23. Tài sản chung và tài sản riêng vợ chồng</w:t>
      </w:r>
    </w:p>
    <w:p>
      <w:r>
        <w:rPr>
          <w:rFonts w:ascii="Arial" w:hAnsi="Arial" w:eastAsia="Arial"/>
          <w:b/>
          <w:color w:val="17365D"/>
          <w:sz w:val="22"/>
        </w:rPr>
        <w:t xml:space="preserve">Đề bài: </w:t>
      </w:r>
      <w:r>
        <w:rPr>
          <w:rFonts w:ascii="Arial" w:hAnsi="Arial" w:eastAsia="Arial"/>
          <w:color w:val="222222"/>
          <w:sz w:val="22"/>
        </w:rPr>
        <w:t>Trước khi kết hôn, A có căn nhà. Trong thời kỳ hôn nhân, vợ chồng dùng tiền chung sửa chữa lớn và cho thuê nhà, thu 20 triệu đồng mỗi tháng.</w:t>
      </w:r>
    </w:p>
    <w:p>
      <w:pPr>
        <w:pStyle w:val="Heading3"/>
      </w:pPr>
      <w:r>
        <w:t>Gợi ý giải</w:t>
      </w:r>
    </w:p>
    <w:p>
      <w:pPr>
        <w:spacing w:after="80"/>
      </w:pPr>
      <w:r>
        <w:rPr>
          <w:rFonts w:ascii="Arial" w:hAnsi="Arial" w:eastAsia="Arial"/>
          <w:b/>
          <w:color w:val="222222"/>
          <w:sz w:val="22"/>
        </w:rPr>
        <w:t xml:space="preserve">Căn nhà: </w:t>
      </w:r>
      <w:r>
        <w:rPr>
          <w:rFonts w:ascii="Arial" w:hAnsi="Arial" w:eastAsia="Arial"/>
          <w:color w:val="222222"/>
          <w:sz w:val="22"/>
        </w:rPr>
        <w:t>Về nguyên tắc là tài sản riêng của A nếu không có thỏa thuận nhập vào tài sản chung.</w:t>
      </w:r>
    </w:p>
    <w:p>
      <w:pPr>
        <w:spacing w:after="80"/>
      </w:pPr>
      <w:r>
        <w:rPr>
          <w:rFonts w:ascii="Arial" w:hAnsi="Arial" w:eastAsia="Arial"/>
          <w:b/>
          <w:color w:val="222222"/>
          <w:sz w:val="22"/>
        </w:rPr>
        <w:t xml:space="preserve">Tiền thuê: </w:t>
      </w:r>
      <w:r>
        <w:rPr>
          <w:rFonts w:ascii="Arial" w:hAnsi="Arial" w:eastAsia="Arial"/>
          <w:color w:val="222222"/>
          <w:sz w:val="22"/>
        </w:rPr>
        <w:t>Hoa lợi, lợi tức phát sinh từ tài sản riêng trong thời kỳ hôn nhân thường là tài sản chung, trừ trường hợp pháp luật hoặc thỏa thuận hợp pháp quy định khác.</w:t>
      </w:r>
    </w:p>
    <w:p>
      <w:pPr>
        <w:spacing w:after="80"/>
      </w:pPr>
      <w:r>
        <w:rPr>
          <w:rFonts w:ascii="Arial" w:hAnsi="Arial" w:eastAsia="Arial"/>
          <w:b/>
          <w:color w:val="222222"/>
          <w:sz w:val="22"/>
        </w:rPr>
        <w:t xml:space="preserve">Chi phí sửa chữa: </w:t>
      </w:r>
      <w:r>
        <w:rPr>
          <w:rFonts w:ascii="Arial" w:hAnsi="Arial" w:eastAsia="Arial"/>
          <w:color w:val="222222"/>
          <w:sz w:val="22"/>
        </w:rPr>
        <w:t>Cần xác định nguồn tiền và thỏa thuận; bên còn lại có thể có yêu cầu hoàn trả hoặc tính công sức khi giải quyết tài sản.</w:t>
      </w:r>
    </w:p>
    <w:p>
      <w:pPr>
        <w:pStyle w:val="Heading2"/>
      </w:pPr>
      <w:r>
        <w:t>Bài 24. Kỷ luật sa thải không đúng thủ tục</w:t>
      </w:r>
    </w:p>
    <w:p>
      <w:r>
        <w:rPr>
          <w:rFonts w:ascii="Arial" w:hAnsi="Arial" w:eastAsia="Arial"/>
          <w:b/>
          <w:color w:val="17365D"/>
          <w:sz w:val="22"/>
        </w:rPr>
        <w:t xml:space="preserve">Đề bài: </w:t>
      </w:r>
      <w:r>
        <w:rPr>
          <w:rFonts w:ascii="Arial" w:hAnsi="Arial" w:eastAsia="Arial"/>
          <w:color w:val="222222"/>
          <w:sz w:val="22"/>
        </w:rPr>
        <w:t>N tự ý nghỉ việc 6 ngày cộng dồn trong 30 ngày nhưng công ty lập tức ra quyết định sa thải mà không mời N tham dự cuộc họp xử lý kỷ luật.</w:t>
      </w:r>
    </w:p>
    <w:p>
      <w:pPr>
        <w:pStyle w:val="Heading3"/>
      </w:pPr>
      <w:r>
        <w:t>Gợi ý giải</w:t>
      </w:r>
    </w:p>
    <w:p>
      <w:pPr>
        <w:spacing w:after="80"/>
      </w:pPr>
      <w:r>
        <w:rPr>
          <w:rFonts w:ascii="Arial" w:hAnsi="Arial" w:eastAsia="Arial"/>
          <w:b/>
          <w:color w:val="222222"/>
          <w:sz w:val="22"/>
        </w:rPr>
        <w:t xml:space="preserve">Căn cứ nội dung: </w:t>
      </w:r>
      <w:r>
        <w:rPr>
          <w:rFonts w:ascii="Arial" w:hAnsi="Arial" w:eastAsia="Arial"/>
          <w:color w:val="222222"/>
          <w:sz w:val="22"/>
        </w:rPr>
        <w:t>Hành vi có thể thuộc trường hợp xem xét sa thải nếu không có lý do chính đáng và đủ số ngày theo luật.</w:t>
      </w:r>
    </w:p>
    <w:p>
      <w:pPr>
        <w:spacing w:after="80"/>
      </w:pPr>
      <w:r>
        <w:rPr>
          <w:rFonts w:ascii="Arial" w:hAnsi="Arial" w:eastAsia="Arial"/>
          <w:b/>
          <w:color w:val="222222"/>
          <w:sz w:val="22"/>
        </w:rPr>
        <w:t xml:space="preserve">Thủ tục: </w:t>
      </w:r>
      <w:r>
        <w:rPr>
          <w:rFonts w:ascii="Arial" w:hAnsi="Arial" w:eastAsia="Arial"/>
          <w:color w:val="222222"/>
          <w:sz w:val="22"/>
        </w:rPr>
        <w:t>Người sử dụng lao động phải chứng minh lỗi và thực hiện trình tự họp, thông báo, thành phần tham dự, thời hiệu theo luật.</w:t>
      </w:r>
    </w:p>
    <w:p>
      <w:pPr>
        <w:spacing w:after="80"/>
      </w:pPr>
      <w:r>
        <w:rPr>
          <w:rFonts w:ascii="Arial" w:hAnsi="Arial" w:eastAsia="Arial"/>
          <w:b/>
          <w:color w:val="222222"/>
          <w:sz w:val="22"/>
        </w:rPr>
        <w:t xml:space="preserve">Kết luận: </w:t>
      </w:r>
      <w:r>
        <w:rPr>
          <w:rFonts w:ascii="Arial" w:hAnsi="Arial" w:eastAsia="Arial"/>
          <w:color w:val="222222"/>
          <w:sz w:val="22"/>
        </w:rPr>
        <w:t>Dù có thể có căn cứ về hành vi, quyết định vẫn có nguy cơ trái pháp luật do vi phạm thủ tục.</w:t>
      </w:r>
    </w:p>
    <w:p>
      <w:pPr>
        <w:spacing w:after="80"/>
      </w:pPr>
      <w:r>
        <w:rPr>
          <w:rFonts w:ascii="Arial" w:hAnsi="Arial" w:eastAsia="Arial"/>
          <w:b/>
          <w:color w:val="222222"/>
          <w:sz w:val="22"/>
        </w:rPr>
        <w:t xml:space="preserve">Hậu quả: </w:t>
      </w:r>
      <w:r>
        <w:rPr>
          <w:rFonts w:ascii="Arial" w:hAnsi="Arial" w:eastAsia="Arial"/>
          <w:color w:val="222222"/>
          <w:sz w:val="22"/>
        </w:rPr>
        <w:t>Công ty có thể phải nhận người lao động trở lại, trả lương, đóng bảo hiểm, bồi thường tùy yêu cầu và phán quyết.</w:t>
      </w:r>
    </w:p>
    <w:p>
      <w:pPr>
        <w:pStyle w:val="Heading2"/>
      </w:pPr>
      <w:r>
        <w:t>Bài 25. Phân biệt tranh chấp tập thể về quyền và lợi ích</w:t>
      </w:r>
    </w:p>
    <w:p>
      <w:r>
        <w:rPr>
          <w:rFonts w:ascii="Arial" w:hAnsi="Arial" w:eastAsia="Arial"/>
          <w:b/>
          <w:color w:val="17365D"/>
          <w:sz w:val="22"/>
        </w:rPr>
        <w:t xml:space="preserve">Đề bài: </w:t>
      </w:r>
      <w:r>
        <w:rPr>
          <w:rFonts w:ascii="Arial" w:hAnsi="Arial" w:eastAsia="Arial"/>
          <w:color w:val="222222"/>
          <w:sz w:val="22"/>
        </w:rPr>
        <w:t>Tập thể người lao động yêu cầu công ty trả phụ cấp đã ghi trong thỏa ước. Ở tình huống khác, họ yêu cầu bổ sung phụ cấp mới chưa từng được thỏa thuận.</w:t>
      </w:r>
    </w:p>
    <w:p>
      <w:pPr>
        <w:pStyle w:val="Heading3"/>
      </w:pPr>
      <w:r>
        <w:t>Gợi ý giải</w:t>
      </w:r>
    </w:p>
    <w:p>
      <w:pPr>
        <w:spacing w:after="80"/>
      </w:pPr>
      <w:r>
        <w:rPr>
          <w:rFonts w:ascii="Arial" w:hAnsi="Arial" w:eastAsia="Arial"/>
          <w:b/>
          <w:color w:val="222222"/>
          <w:sz w:val="22"/>
        </w:rPr>
        <w:t xml:space="preserve">Tình huống 1: </w:t>
      </w:r>
      <w:r>
        <w:rPr>
          <w:rFonts w:ascii="Arial" w:hAnsi="Arial" w:eastAsia="Arial"/>
          <w:color w:val="222222"/>
          <w:sz w:val="22"/>
        </w:rPr>
        <w:t>Tranh chấp tập thể về quyền vì yêu cầu thực hiện điều kiện đã được xác lập trong thỏa ước.</w:t>
      </w:r>
    </w:p>
    <w:p>
      <w:pPr>
        <w:spacing w:after="80"/>
      </w:pPr>
      <w:r>
        <w:rPr>
          <w:rFonts w:ascii="Arial" w:hAnsi="Arial" w:eastAsia="Arial"/>
          <w:b/>
          <w:color w:val="222222"/>
          <w:sz w:val="22"/>
        </w:rPr>
        <w:t xml:space="preserve">Tình huống 2: </w:t>
      </w:r>
      <w:r>
        <w:rPr>
          <w:rFonts w:ascii="Arial" w:hAnsi="Arial" w:eastAsia="Arial"/>
          <w:color w:val="222222"/>
          <w:sz w:val="22"/>
        </w:rPr>
        <w:t>Tranh chấp tập thể về lợi ích vì yêu cầu xác lập điều kiện lao động mới.</w:t>
      </w:r>
    </w:p>
    <w:p>
      <w:pPr>
        <w:spacing w:after="80"/>
      </w:pPr>
      <w:r>
        <w:rPr>
          <w:rFonts w:ascii="Arial" w:hAnsi="Arial" w:eastAsia="Arial"/>
          <w:b/>
          <w:color w:val="222222"/>
          <w:sz w:val="22"/>
        </w:rPr>
        <w:t xml:space="preserve">Ý nghĩa: </w:t>
      </w:r>
      <w:r>
        <w:rPr>
          <w:rFonts w:ascii="Arial" w:hAnsi="Arial" w:eastAsia="Arial"/>
          <w:color w:val="222222"/>
          <w:sz w:val="22"/>
        </w:rPr>
        <w:t>Phân loại quyết định cơ chế giải quyết và khả năng tiến hành đình công.</w:t>
      </w:r>
    </w:p>
    <w:p>
      <w:pPr>
        <w:pStyle w:val="Heading2"/>
      </w:pPr>
      <w:r>
        <w:t>Bài 26. Xử phạt hành chính sai thẩm quyền</w:t>
      </w:r>
    </w:p>
    <w:p>
      <w:r>
        <w:rPr>
          <w:rFonts w:ascii="Arial" w:hAnsi="Arial" w:eastAsia="Arial"/>
          <w:b/>
          <w:color w:val="17365D"/>
          <w:sz w:val="22"/>
        </w:rPr>
        <w:t xml:space="preserve">Đề bài: </w:t>
      </w:r>
      <w:r>
        <w:rPr>
          <w:rFonts w:ascii="Arial" w:hAnsi="Arial" w:eastAsia="Arial"/>
          <w:color w:val="222222"/>
          <w:sz w:val="22"/>
        </w:rPr>
        <w:t>Một người không có thẩm quyền theo luật ký quyết định phạt doanh nghiệp 100 triệu đồng, dù doanh nghiệp thực sự có hành vi vi phạm.</w:t>
      </w:r>
    </w:p>
    <w:p>
      <w:pPr>
        <w:pStyle w:val="Heading3"/>
      </w:pPr>
      <w:r>
        <w:t>Gợi ý giải</w:t>
      </w:r>
    </w:p>
    <w:p>
      <w:pPr>
        <w:spacing w:after="80"/>
      </w:pPr>
      <w:r>
        <w:rPr>
          <w:rFonts w:ascii="Arial" w:hAnsi="Arial" w:eastAsia="Arial"/>
          <w:b/>
          <w:color w:val="222222"/>
          <w:sz w:val="22"/>
        </w:rPr>
        <w:t xml:space="preserve">Tính hợp pháp: </w:t>
      </w:r>
      <w:r>
        <w:rPr>
          <w:rFonts w:ascii="Arial" w:hAnsi="Arial" w:eastAsia="Arial"/>
          <w:color w:val="222222"/>
          <w:sz w:val="22"/>
        </w:rPr>
        <w:t>Quyết định hành chính phải đúng cả nội dung và thẩm quyền. Vi phạm thực tế không hợp thức hóa quyết định do người không có thẩm quyền ban hành.</w:t>
      </w:r>
    </w:p>
    <w:p>
      <w:pPr>
        <w:spacing w:after="80"/>
      </w:pPr>
      <w:r>
        <w:rPr>
          <w:rFonts w:ascii="Arial" w:hAnsi="Arial" w:eastAsia="Arial"/>
          <w:b/>
          <w:color w:val="222222"/>
          <w:sz w:val="22"/>
        </w:rPr>
        <w:t xml:space="preserve">Quyền của doanh nghiệp: </w:t>
      </w:r>
      <w:r>
        <w:rPr>
          <w:rFonts w:ascii="Arial" w:hAnsi="Arial" w:eastAsia="Arial"/>
          <w:color w:val="222222"/>
          <w:sz w:val="22"/>
        </w:rPr>
        <w:t>Có thể khiếu nại hoặc khởi kiện hành chính, yêu cầu hủy quyết định và khôi phục quyền lợi.</w:t>
      </w:r>
    </w:p>
    <w:p>
      <w:pPr>
        <w:spacing w:after="80"/>
      </w:pPr>
      <w:r>
        <w:rPr>
          <w:rFonts w:ascii="Arial" w:hAnsi="Arial" w:eastAsia="Arial"/>
          <w:b/>
          <w:color w:val="222222"/>
          <w:sz w:val="22"/>
        </w:rPr>
        <w:t xml:space="preserve">Xử lý vi phạm gốc: </w:t>
      </w:r>
      <w:r>
        <w:rPr>
          <w:rFonts w:ascii="Arial" w:hAnsi="Arial" w:eastAsia="Arial"/>
          <w:color w:val="222222"/>
          <w:sz w:val="22"/>
        </w:rPr>
        <w:t>Cơ quan có thẩm quyền vẫn có thể xử lý hành vi vi phạm nếu còn thời hiệu và thực hiện đúng thủ tục.</w:t>
      </w:r>
    </w:p>
    <w:p>
      <w:pPr>
        <w:pStyle w:val="Heading2"/>
      </w:pPr>
      <w:r>
        <w:t>Bài 27. Tố cáo nặc danh có tài liệu rõ ràng</w:t>
      </w:r>
    </w:p>
    <w:p>
      <w:r>
        <w:rPr>
          <w:rFonts w:ascii="Arial" w:hAnsi="Arial" w:eastAsia="Arial"/>
          <w:b/>
          <w:color w:val="17365D"/>
          <w:sz w:val="22"/>
        </w:rPr>
        <w:t xml:space="preserve">Đề bài: </w:t>
      </w:r>
      <w:r>
        <w:rPr>
          <w:rFonts w:ascii="Arial" w:hAnsi="Arial" w:eastAsia="Arial"/>
          <w:color w:val="222222"/>
          <w:sz w:val="22"/>
        </w:rPr>
        <w:t>Cơ quan nhận email không ghi tên người gửi nhưng nêu rõ cán bộ, thời gian, địa điểm nhận tiền và kèm video.</w:t>
      </w:r>
    </w:p>
    <w:p>
      <w:pPr>
        <w:pStyle w:val="Heading3"/>
      </w:pPr>
      <w:r>
        <w:t>Gợi ý giải</w:t>
      </w:r>
    </w:p>
    <w:p>
      <w:pPr>
        <w:spacing w:after="80"/>
      </w:pPr>
      <w:r>
        <w:rPr>
          <w:rFonts w:ascii="Arial" w:hAnsi="Arial" w:eastAsia="Arial"/>
          <w:b/>
          <w:color w:val="222222"/>
          <w:sz w:val="22"/>
        </w:rPr>
        <w:t xml:space="preserve">Thủ tục tố cáo: </w:t>
      </w:r>
      <w:r>
        <w:rPr>
          <w:rFonts w:ascii="Arial" w:hAnsi="Arial" w:eastAsia="Arial"/>
          <w:color w:val="222222"/>
          <w:sz w:val="22"/>
        </w:rPr>
        <w:t>Không xử lý như một tố cáo đầy đủ do không xác định được người tố cáo.</w:t>
      </w:r>
    </w:p>
    <w:p>
      <w:pPr>
        <w:spacing w:after="80"/>
      </w:pPr>
      <w:r>
        <w:rPr>
          <w:rFonts w:ascii="Arial" w:hAnsi="Arial" w:eastAsia="Arial"/>
          <w:b/>
          <w:color w:val="222222"/>
          <w:sz w:val="22"/>
        </w:rPr>
        <w:t xml:space="preserve">Xử lý thông tin: </w:t>
      </w:r>
      <w:r>
        <w:rPr>
          <w:rFonts w:ascii="Arial" w:hAnsi="Arial" w:eastAsia="Arial"/>
          <w:color w:val="222222"/>
          <w:sz w:val="22"/>
        </w:rPr>
        <w:t>Vì nội dung rõ, có tài liệu cụ thể và cơ sở kiểm tra, cơ quan có thể sử dụng để thanh tra, kiểm tra hoặc chuyển cơ quan điều tra.</w:t>
      </w:r>
    </w:p>
    <w:p>
      <w:pPr>
        <w:spacing w:after="80"/>
      </w:pPr>
      <w:r>
        <w:rPr>
          <w:rFonts w:ascii="Arial" w:hAnsi="Arial" w:eastAsia="Arial"/>
          <w:b/>
          <w:color w:val="222222"/>
          <w:sz w:val="22"/>
        </w:rPr>
        <w:t xml:space="preserve">Kết luận: </w:t>
      </w:r>
      <w:r>
        <w:rPr>
          <w:rFonts w:ascii="Arial" w:hAnsi="Arial" w:eastAsia="Arial"/>
          <w:color w:val="222222"/>
          <w:sz w:val="22"/>
        </w:rPr>
        <w:t>Sai nếu nói mọi thông tin nặc danh đều phải hủy bỏ và không được xem xét.</w:t>
      </w:r>
    </w:p>
    <w:p>
      <w:pPr>
        <w:pStyle w:val="Heading2"/>
      </w:pPr>
      <w:r>
        <w:t>Bài 28. Độ tuổi chịu trách nhiệm hình sự</w:t>
      </w:r>
    </w:p>
    <w:p>
      <w:r>
        <w:rPr>
          <w:rFonts w:ascii="Arial" w:hAnsi="Arial" w:eastAsia="Arial"/>
          <w:b/>
          <w:color w:val="17365D"/>
          <w:sz w:val="22"/>
        </w:rPr>
        <w:t xml:space="preserve">Đề bài: </w:t>
      </w:r>
      <w:r>
        <w:rPr>
          <w:rFonts w:ascii="Arial" w:hAnsi="Arial" w:eastAsia="Arial"/>
          <w:color w:val="222222"/>
          <w:sz w:val="22"/>
        </w:rPr>
        <w:t>T, 15 tuổi, thực hiện một hành vi có dấu hiệu tội nghiêm trọng. Có thể kết luận T phải chịu trách nhiệm hình sự chỉ dựa vào phân loại “nghiêm trọng” không?</w:t>
      </w:r>
    </w:p>
    <w:p>
      <w:pPr>
        <w:pStyle w:val="Heading3"/>
      </w:pPr>
      <w:r>
        <w:t>Gợi ý giải</w:t>
      </w:r>
    </w:p>
    <w:p>
      <w:pPr>
        <w:spacing w:after="80"/>
      </w:pPr>
      <w:r>
        <w:rPr>
          <w:rFonts w:ascii="Arial" w:hAnsi="Arial" w:eastAsia="Arial"/>
          <w:b/>
          <w:color w:val="222222"/>
          <w:sz w:val="22"/>
        </w:rPr>
        <w:t xml:space="preserve">Quy tắc: </w:t>
      </w:r>
      <w:r>
        <w:rPr>
          <w:rFonts w:ascii="Arial" w:hAnsi="Arial" w:eastAsia="Arial"/>
          <w:color w:val="222222"/>
          <w:sz w:val="22"/>
        </w:rPr>
        <w:t>Người từ đủ 14 đến dưới 16 tuổi chỉ chịu trách nhiệm về các tội cụ thể được Điều 12 BLHS liệt kê.</w:t>
      </w:r>
    </w:p>
    <w:p>
      <w:pPr>
        <w:spacing w:after="80"/>
      </w:pPr>
      <w:r>
        <w:rPr>
          <w:rFonts w:ascii="Arial" w:hAnsi="Arial" w:eastAsia="Arial"/>
          <w:b/>
          <w:color w:val="222222"/>
          <w:sz w:val="22"/>
        </w:rPr>
        <w:t xml:space="preserve">Kết luận: </w:t>
      </w:r>
      <w:r>
        <w:rPr>
          <w:rFonts w:ascii="Arial" w:hAnsi="Arial" w:eastAsia="Arial"/>
          <w:color w:val="222222"/>
          <w:sz w:val="22"/>
        </w:rPr>
        <w:t>Không thể chỉ dựa vào nhãn ít nghiêm trọng, nghiêm trọng, rất nghiêm trọng hay đặc biệt nghiêm trọng.</w:t>
      </w:r>
    </w:p>
    <w:p>
      <w:pPr>
        <w:spacing w:after="80"/>
      </w:pPr>
      <w:r>
        <w:rPr>
          <w:rFonts w:ascii="Arial" w:hAnsi="Arial" w:eastAsia="Arial"/>
          <w:b/>
          <w:color w:val="222222"/>
          <w:sz w:val="22"/>
        </w:rPr>
        <w:t xml:space="preserve">Cách làm: </w:t>
      </w:r>
      <w:r>
        <w:rPr>
          <w:rFonts w:ascii="Arial" w:hAnsi="Arial" w:eastAsia="Arial"/>
          <w:color w:val="222222"/>
          <w:sz w:val="22"/>
        </w:rPr>
        <w:t>Phải xác định tội danh dự kiến, kiểm tra tội đó có nằm trong danh mục và đánh giá năng lực nhận thức, điều khiển hành vi.</w:t>
      </w:r>
    </w:p>
    <w:p>
      <w:pPr>
        <w:pStyle w:val="Heading2"/>
      </w:pPr>
      <w:r>
        <w:t>Bài 29. Phòng vệ chính đáng và vượt quá giới hạn</w:t>
      </w:r>
    </w:p>
    <w:p>
      <w:r>
        <w:rPr>
          <w:rFonts w:ascii="Arial" w:hAnsi="Arial" w:eastAsia="Arial"/>
          <w:b/>
          <w:color w:val="17365D"/>
          <w:sz w:val="22"/>
        </w:rPr>
        <w:t xml:space="preserve">Đề bài: </w:t>
      </w:r>
      <w:r>
        <w:rPr>
          <w:rFonts w:ascii="Arial" w:hAnsi="Arial" w:eastAsia="Arial"/>
          <w:color w:val="222222"/>
          <w:sz w:val="22"/>
        </w:rPr>
        <w:t>A bị B dùng dao tấn công. A giằng được gậy và đánh B để chấm dứt tấn công. Khi B đã bỏ chạy, A tiếp tục đuổi theo đánh gây thương tích nặng.</w:t>
      </w:r>
    </w:p>
    <w:p>
      <w:pPr>
        <w:pStyle w:val="Heading3"/>
      </w:pPr>
      <w:r>
        <w:t>Gợi ý giải</w:t>
      </w:r>
    </w:p>
    <w:p>
      <w:pPr>
        <w:spacing w:after="80"/>
      </w:pPr>
      <w:r>
        <w:rPr>
          <w:rFonts w:ascii="Arial" w:hAnsi="Arial" w:eastAsia="Arial"/>
          <w:b/>
          <w:color w:val="222222"/>
          <w:sz w:val="22"/>
        </w:rPr>
        <w:t xml:space="preserve">Giai đoạn chống trả: </w:t>
      </w:r>
      <w:r>
        <w:rPr>
          <w:rFonts w:ascii="Arial" w:hAnsi="Arial" w:eastAsia="Arial"/>
          <w:color w:val="222222"/>
          <w:sz w:val="22"/>
        </w:rPr>
        <w:t>Hành vi cần thiết nhằm chống lại cuộc tấn công đang xảy ra có thể là phòng vệ chính đáng.</w:t>
      </w:r>
    </w:p>
    <w:p>
      <w:pPr>
        <w:spacing w:after="80"/>
      </w:pPr>
      <w:r>
        <w:rPr>
          <w:rFonts w:ascii="Arial" w:hAnsi="Arial" w:eastAsia="Arial"/>
          <w:b/>
          <w:color w:val="222222"/>
          <w:sz w:val="22"/>
        </w:rPr>
        <w:t xml:space="preserve">Giai đoạn đuổi theo: </w:t>
      </w:r>
      <w:r>
        <w:rPr>
          <w:rFonts w:ascii="Arial" w:hAnsi="Arial" w:eastAsia="Arial"/>
          <w:color w:val="222222"/>
          <w:sz w:val="22"/>
        </w:rPr>
        <w:t>Khi nguy cơ đã chấm dứt, việc tiếp tục tấn công không còn nằm trong phạm vi phòng vệ; cần xem xét lỗi và tội danh tương ứng.</w:t>
      </w:r>
    </w:p>
    <w:p>
      <w:pPr>
        <w:spacing w:after="80"/>
      </w:pPr>
      <w:r>
        <w:rPr>
          <w:rFonts w:ascii="Arial" w:hAnsi="Arial" w:eastAsia="Arial"/>
          <w:b/>
          <w:color w:val="222222"/>
          <w:sz w:val="22"/>
        </w:rPr>
        <w:t xml:space="preserve">Bài học: </w:t>
      </w:r>
      <w:r>
        <w:rPr>
          <w:rFonts w:ascii="Arial" w:hAnsi="Arial" w:eastAsia="Arial"/>
          <w:color w:val="222222"/>
          <w:sz w:val="22"/>
        </w:rPr>
        <w:t>Phải tách diễn biến theo từng thời điểm, không đánh giá toàn bộ chuỗi hành vi bằng một kết luận duy nhất.</w:t>
      </w:r>
    </w:p>
    <w:p>
      <w:pPr>
        <w:pStyle w:val="Heading2"/>
      </w:pPr>
      <w:r>
        <w:t>Bài 30. Hiệu lực và giới hạn quyền con người</w:t>
      </w:r>
    </w:p>
    <w:p>
      <w:r>
        <w:rPr>
          <w:rFonts w:ascii="Arial" w:hAnsi="Arial" w:eastAsia="Arial"/>
          <w:b/>
          <w:color w:val="17365D"/>
          <w:sz w:val="22"/>
        </w:rPr>
        <w:t xml:space="preserve">Đề bài: </w:t>
      </w:r>
      <w:r>
        <w:rPr>
          <w:rFonts w:ascii="Arial" w:hAnsi="Arial" w:eastAsia="Arial"/>
          <w:color w:val="222222"/>
          <w:sz w:val="22"/>
        </w:rPr>
        <w:t>Một cơ quan cấp sở ban hành công văn nội bộ yêu cầu mọi người dân trong địa phương phải cung cấp dữ liệu đời tư, nếu không sẽ bị từ chối dịch vụ công.</w:t>
      </w:r>
    </w:p>
    <w:p>
      <w:pPr>
        <w:pStyle w:val="Heading3"/>
      </w:pPr>
      <w:r>
        <w:t>Gợi ý giải</w:t>
      </w:r>
    </w:p>
    <w:p>
      <w:pPr>
        <w:spacing w:after="80"/>
      </w:pPr>
      <w:r>
        <w:rPr>
          <w:rFonts w:ascii="Arial" w:hAnsi="Arial" w:eastAsia="Arial"/>
          <w:b/>
          <w:color w:val="222222"/>
          <w:sz w:val="22"/>
        </w:rPr>
        <w:t xml:space="preserve">Quyền liên quan: </w:t>
      </w:r>
      <w:r>
        <w:rPr>
          <w:rFonts w:ascii="Arial" w:hAnsi="Arial" w:eastAsia="Arial"/>
          <w:color w:val="222222"/>
          <w:sz w:val="22"/>
        </w:rPr>
        <w:t>Quyền về đời sống riêng tư và bảo vệ dữ liệu/thông tin cá nhân.</w:t>
      </w:r>
    </w:p>
    <w:p>
      <w:pPr>
        <w:spacing w:after="80"/>
      </w:pPr>
      <w:r>
        <w:rPr>
          <w:rFonts w:ascii="Arial" w:hAnsi="Arial" w:eastAsia="Arial"/>
          <w:b/>
          <w:color w:val="222222"/>
          <w:sz w:val="22"/>
        </w:rPr>
        <w:t xml:space="preserve">Giới hạn quyền: </w:t>
      </w:r>
      <w:r>
        <w:rPr>
          <w:rFonts w:ascii="Arial" w:hAnsi="Arial" w:eastAsia="Arial"/>
          <w:color w:val="222222"/>
          <w:sz w:val="22"/>
        </w:rPr>
        <w:t>Việc hạn chế quyền phải có căn cứ luật, nhằm mục đích hiến định cần thiết và bảo đảm phạm vi phù hợp; công văn không thể tự đặt nghĩa vụ và chế tài vượt luật.</w:t>
      </w:r>
    </w:p>
    <w:p>
      <w:pPr>
        <w:spacing w:after="80"/>
      </w:pPr>
      <w:r>
        <w:rPr>
          <w:rFonts w:ascii="Arial" w:hAnsi="Arial" w:eastAsia="Arial"/>
          <w:b/>
          <w:color w:val="222222"/>
          <w:sz w:val="22"/>
        </w:rPr>
        <w:t xml:space="preserve">Đánh giá: </w:t>
      </w:r>
      <w:r>
        <w:rPr>
          <w:rFonts w:ascii="Arial" w:hAnsi="Arial" w:eastAsia="Arial"/>
          <w:color w:val="222222"/>
          <w:sz w:val="22"/>
        </w:rPr>
        <w:t>Cần kiểm tra thẩm quyền, mục đích, loại dữ liệu, mức cần thiết và cơ chế bảo vệ. Quy định chung chung có nguy cơ trái pháp luật và xâm phạm quyền.</w:t>
      </w:r>
    </w:p>
    <w:p>
      <w:r>
        <w:br w:type="page"/>
      </w:r>
    </w:p>
    <w:p>
      <w:pPr>
        <w:pStyle w:val="Heading1"/>
      </w:pPr>
      <w:r>
        <w:t>B. BÀI TẬP TỔNG HỢP DÀI – DẠNG ĐỀ THI</w:t>
      </w:r>
    </w:p>
    <w:p>
      <w:r>
        <w:rPr>
          <w:rFonts w:ascii="Arial" w:hAnsi="Arial" w:eastAsia="Arial"/>
          <w:color w:val="222222"/>
          <w:sz w:val="22"/>
        </w:rPr>
        <w:t>Các bài dưới đây được trình bày theo dạng tình huống dài. Đáp án không chỉ đưa ra kết luận mà phải phân tích phương thức thực hiện, thời điểm phát sinh ý định, bốn yếu tố cấu thành, dữ kiện còn thiếu và căn cứ pháp luật.</w:t>
      </w:r>
    </w:p>
    <w:p>
      <w:pPr>
        <w:pStyle w:val="Heading2"/>
      </w:pPr>
      <w:r>
        <w:t>Bài 31. Vé số trúng thưởng – phân biệt lừa đảo và lạm dụng tín nhiệm</w:t>
      </w:r>
    </w:p>
    <w:p>
      <w:r>
        <w:rPr>
          <w:rFonts w:ascii="Arial" w:hAnsi="Arial" w:eastAsia="Arial"/>
          <w:b/>
          <w:color w:val="17365D"/>
          <w:sz w:val="22"/>
        </w:rPr>
        <w:t xml:space="preserve">Đề bài: </w:t>
      </w:r>
      <w:r>
        <w:rPr>
          <w:rFonts w:ascii="Arial" w:hAnsi="Arial" w:eastAsia="Arial"/>
          <w:color w:val="222222"/>
          <w:sz w:val="22"/>
        </w:rPr>
        <w:t>Chiều ngày 20/9/2018, Đ cùng C đang ngồi uống nước thì có một em bé mời mua vé số. C bỏ 15.000 đồng mua 3 tờ. Trong khi C trả tiền, Đ nhận 3 tờ vé số từ người bán, cất vào túi và nói: “Để tôi cầm cho may mắn, nếu trúng thưởng thì tối nay lại nhậu”. C chỉ cười, không phản đối. Sáng hôm sau, biết vé trúng 150 triệu đồng, Đ đi nhận thưởng rồi gọi điện nói dối C rằng cả 3 vé đều trượt. Đ dùng tiền mua xe máy. Khi C biết sự việc và yêu cầu trả tiền, Đ tiếp tục nói dối rằng vé không trúng và đã xé bỏ. Hành vi của Đ cấu thành tội gì? Tại sao?</w:t>
      </w:r>
    </w:p>
    <w:p>
      <w:pPr>
        <w:pStyle w:val="Heading3"/>
      </w:pPr>
      <w:r>
        <w:t>Gợi ý giải</w:t>
      </w:r>
    </w:p>
    <w:p>
      <w:pPr>
        <w:spacing w:after="80"/>
      </w:pPr>
      <w:r>
        <w:rPr>
          <w:rFonts w:ascii="Arial" w:hAnsi="Arial" w:eastAsia="Arial"/>
          <w:b/>
          <w:color w:val="222222"/>
          <w:sz w:val="22"/>
        </w:rPr>
        <w:t xml:space="preserve">Xác định quyền đối với tài sản: </w:t>
      </w:r>
      <w:r>
        <w:rPr>
          <w:rFonts w:ascii="Arial" w:hAnsi="Arial" w:eastAsia="Arial"/>
          <w:color w:val="222222"/>
          <w:sz w:val="22"/>
        </w:rPr>
        <w:t>C là người bỏ tiền mua và là chủ sở hữu các tờ vé cùng quyền nhận thưởng. Đ chỉ là người được C đồng ý cho cầm giữ; việc C cười, không phản đối cho thấy Đ nhận tài sản một cách hợp pháp ban đầu.</w:t>
      </w:r>
    </w:p>
    <w:p>
      <w:pPr>
        <w:spacing w:after="80"/>
      </w:pPr>
      <w:r>
        <w:rPr>
          <w:rFonts w:ascii="Arial" w:hAnsi="Arial" w:eastAsia="Arial"/>
          <w:b/>
          <w:color w:val="222222"/>
          <w:sz w:val="22"/>
        </w:rPr>
        <w:t xml:space="preserve">Loại trừ tội trộm cắp: </w:t>
      </w:r>
      <w:r>
        <w:rPr>
          <w:rFonts w:ascii="Arial" w:hAnsi="Arial" w:eastAsia="Arial"/>
          <w:color w:val="222222"/>
          <w:sz w:val="22"/>
        </w:rPr>
        <w:t>Đ không lén lút lấy vé khỏi sự quản lý của C. Việc cầm vé diễn ra công khai và được C chấp nhận.</w:t>
      </w:r>
    </w:p>
    <w:p>
      <w:pPr>
        <w:spacing w:after="80"/>
      </w:pPr>
      <w:r>
        <w:rPr>
          <w:rFonts w:ascii="Arial" w:hAnsi="Arial" w:eastAsia="Arial"/>
          <w:b/>
          <w:color w:val="222222"/>
          <w:sz w:val="22"/>
        </w:rPr>
        <w:t xml:space="preserve">Loại trừ hướng lừa đảo: </w:t>
      </w:r>
      <w:r>
        <w:rPr>
          <w:rFonts w:ascii="Arial" w:hAnsi="Arial" w:eastAsia="Arial"/>
          <w:color w:val="222222"/>
          <w:sz w:val="22"/>
        </w:rPr>
        <w:t>Đ không dùng thủ đoạn gian dối trước khi C giao vé. Lời nói dối “vé không trúng” xuất hiện sau khi Đ đã nhận giữ vé và đã biết kết quả. Gian dối không phải nguyên nhân làm C giao tài sản.</w:t>
      </w:r>
    </w:p>
    <w:p>
      <w:pPr>
        <w:spacing w:after="80"/>
      </w:pPr>
      <w:r>
        <w:rPr>
          <w:rFonts w:ascii="Arial" w:hAnsi="Arial" w:eastAsia="Arial"/>
          <w:b/>
          <w:color w:val="222222"/>
          <w:sz w:val="22"/>
        </w:rPr>
        <w:t xml:space="preserve">Hướng định tội phù hợp: </w:t>
      </w:r>
      <w:r>
        <w:rPr>
          <w:rFonts w:ascii="Arial" w:hAnsi="Arial" w:eastAsia="Arial"/>
          <w:color w:val="222222"/>
          <w:sz w:val="22"/>
        </w:rPr>
        <w:t>Đ nhận tài sản hợp pháp thông qua thỏa thuận giữ hộ, sau đó nảy sinh ý định chiếm đoạt, đi nhận thưởng, dùng thủ đoạn gian dối che giấu và từ chối hoàn trả. Hành vi có dấu hiệu của tội lạm dụng tín nhiệm chiếm đoạt tài sản theo Điều 175 BLHS, nếu cơ quan tiến hành tố tụng xác định đầy đủ quan hệ giao tài sản và các điều kiện cấu thành.</w:t>
      </w:r>
    </w:p>
    <w:p>
      <w:pPr>
        <w:spacing w:after="80"/>
      </w:pPr>
      <w:r>
        <w:rPr>
          <w:rFonts w:ascii="Arial" w:hAnsi="Arial" w:eastAsia="Arial"/>
          <w:b/>
          <w:color w:val="222222"/>
          <w:sz w:val="22"/>
        </w:rPr>
        <w:t xml:space="preserve">Khách thể: </w:t>
      </w:r>
      <w:r>
        <w:rPr>
          <w:rFonts w:ascii="Arial" w:hAnsi="Arial" w:eastAsia="Arial"/>
          <w:color w:val="222222"/>
          <w:sz w:val="22"/>
        </w:rPr>
        <w:t>Quan hệ sở hữu của C đối với vé số và khoản tiền thưởng.</w:t>
      </w:r>
    </w:p>
    <w:p>
      <w:pPr>
        <w:spacing w:after="80"/>
      </w:pPr>
      <w:r>
        <w:rPr>
          <w:rFonts w:ascii="Arial" w:hAnsi="Arial" w:eastAsia="Arial"/>
          <w:b/>
          <w:color w:val="222222"/>
          <w:sz w:val="22"/>
        </w:rPr>
        <w:t xml:space="preserve">Mặt khách quan: </w:t>
      </w:r>
      <w:r>
        <w:rPr>
          <w:rFonts w:ascii="Arial" w:hAnsi="Arial" w:eastAsia="Arial"/>
          <w:color w:val="222222"/>
          <w:sz w:val="22"/>
        </w:rPr>
        <w:t>Nhận giữ vé hợp pháp; sau khi vé trúng đã tự nhận 150 triệu, nói dối, sử dụng tiền và kiên quyết không trả. Hậu quả là C mất quyền hưởng 150 triệu; hành vi chiếm đoạt là nguyên nhân trực tiếp.</w:t>
      </w:r>
    </w:p>
    <w:p>
      <w:pPr>
        <w:spacing w:after="80"/>
      </w:pPr>
      <w:r>
        <w:rPr>
          <w:rFonts w:ascii="Arial" w:hAnsi="Arial" w:eastAsia="Arial"/>
          <w:b/>
          <w:color w:val="222222"/>
          <w:sz w:val="22"/>
        </w:rPr>
        <w:t xml:space="preserve">Chủ thể: </w:t>
      </w:r>
      <w:r>
        <w:rPr>
          <w:rFonts w:ascii="Arial" w:hAnsi="Arial" w:eastAsia="Arial"/>
          <w:color w:val="222222"/>
          <w:sz w:val="22"/>
        </w:rPr>
        <w:t>Đ phải là người có năng lực trách nhiệm hình sự và đủ tuổi. Đề không cho tuổi nên bài làm phải nêu giả định Đ đủ điều kiện chủ thể.</w:t>
      </w:r>
    </w:p>
    <w:p>
      <w:pPr>
        <w:spacing w:after="80"/>
      </w:pPr>
      <w:r>
        <w:rPr>
          <w:rFonts w:ascii="Arial" w:hAnsi="Arial" w:eastAsia="Arial"/>
          <w:b/>
          <w:color w:val="222222"/>
          <w:sz w:val="22"/>
        </w:rPr>
        <w:t xml:space="preserve">Mặt chủ quan: </w:t>
      </w:r>
      <w:r>
        <w:rPr>
          <w:rFonts w:ascii="Arial" w:hAnsi="Arial" w:eastAsia="Arial"/>
          <w:color w:val="222222"/>
          <w:sz w:val="22"/>
        </w:rPr>
        <w:t>Lỗi cố ý trực tiếp: Đ biết tiền thưởng thuộc C nhưng mong muốn chiếm đoạt. Mục đích là chiếm đoạt 150 triệu; động cơ tư lợi.</w:t>
      </w:r>
    </w:p>
    <w:p>
      <w:pPr>
        <w:spacing w:after="80"/>
      </w:pPr>
      <w:r>
        <w:rPr>
          <w:rFonts w:ascii="Arial" w:hAnsi="Arial" w:eastAsia="Arial"/>
          <w:b/>
          <w:color w:val="222222"/>
          <w:sz w:val="22"/>
        </w:rPr>
        <w:t xml:space="preserve">Giá trị tài sản: </w:t>
      </w:r>
      <w:r>
        <w:rPr>
          <w:rFonts w:ascii="Arial" w:hAnsi="Arial" w:eastAsia="Arial"/>
          <w:color w:val="222222"/>
          <w:sz w:val="22"/>
        </w:rPr>
        <w:t>Giá trị chiếm đoạt là 150 triệu đồng. Khi xác định khung trách nhiệm cần đối chiếu khoản tương ứng của Điều 175 và pháp luật áp dụng tại thời điểm hành vi; bài Pháp luật đại cương chỉ nên kết luận tội danh khi không yêu cầu định khung.</w:t>
      </w:r>
    </w:p>
    <w:p>
      <w:pPr>
        <w:spacing w:after="80"/>
      </w:pPr>
      <w:r>
        <w:rPr>
          <w:rFonts w:ascii="Arial" w:hAnsi="Arial" w:eastAsia="Arial"/>
          <w:b/>
          <w:color w:val="222222"/>
          <w:sz w:val="22"/>
        </w:rPr>
        <w:t xml:space="preserve">Kết luận: </w:t>
      </w:r>
      <w:r>
        <w:rPr>
          <w:rFonts w:ascii="Arial" w:hAnsi="Arial" w:eastAsia="Arial"/>
          <w:color w:val="222222"/>
          <w:sz w:val="22"/>
        </w:rPr>
        <w:t>Có cơ sở xác định theo hướng lạm dụng tín nhiệm chiếm đoạt tài sản, không phải lừa đảo, vì tài sản được giao hợp pháp trước và thủ đoạn gian dối xuất hiện sau để chiếm đoạt.</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Lưu ý chấm điểm: </w:t>
            </w:r>
            <w:r>
              <w:rPr>
                <w:rFonts w:ascii="Arial" w:hAnsi="Arial" w:eastAsia="Arial"/>
                <w:color w:val="17365D"/>
                <w:sz w:val="21"/>
              </w:rPr>
              <w:t>Điểm quyết định là thời điểm xuất hiện thủ đoạn gian dối và cách Đ có được tài sản. Không được thấy có nói dối rồi kết luận ngay là lừa đảo.</w:t>
            </w:r>
          </w:p>
        </w:tc>
      </w:tr>
    </w:tbl>
    <w:p>
      <w:pPr>
        <w:spacing w:after="0"/>
      </w:pPr>
    </w:p>
    <w:p>
      <w:pPr>
        <w:pStyle w:val="Heading2"/>
      </w:pPr>
      <w:r>
        <w:t>Bài 32. Sinh viên lấy 50 triệu – phân tích đầy đủ cấu thành vi phạm</w:t>
      </w:r>
    </w:p>
    <w:p>
      <w:r>
        <w:rPr>
          <w:rFonts w:ascii="Arial" w:hAnsi="Arial" w:eastAsia="Arial"/>
          <w:b/>
          <w:color w:val="17365D"/>
          <w:sz w:val="22"/>
        </w:rPr>
        <w:t xml:space="preserve">Đề bài: </w:t>
      </w:r>
      <w:r>
        <w:rPr>
          <w:rFonts w:ascii="Arial" w:hAnsi="Arial" w:eastAsia="Arial"/>
          <w:color w:val="222222"/>
          <w:sz w:val="22"/>
        </w:rPr>
        <w:t>Nguyễn Văn A, 23 tuổi, là sinh viên năm 2. Do không có tiền đóng học phí, ngày 01/02/2020 A đến chơi và ở lại nhà anh Hùng. Ngày 02/02/2020, lợi dụng lúc anh Hùng đi vắng và tủ không khóa, A lấy 50 triệu đồng. A dùng 20 triệu mua xe máy, số còn lại nộp học phí. Hãy phân tích các yếu tố cấu thành vi phạm pháp luật.</w:t>
      </w:r>
    </w:p>
    <w:p>
      <w:pPr>
        <w:pStyle w:val="Heading3"/>
      </w:pPr>
      <w:r>
        <w:t>Gợi ý giải</w:t>
      </w:r>
    </w:p>
    <w:p>
      <w:pPr>
        <w:spacing w:after="80"/>
      </w:pPr>
      <w:r>
        <w:rPr>
          <w:rFonts w:ascii="Arial" w:hAnsi="Arial" w:eastAsia="Arial"/>
          <w:b/>
          <w:color w:val="222222"/>
          <w:sz w:val="22"/>
        </w:rPr>
        <w:t xml:space="preserve">Xác định hành vi: </w:t>
      </w:r>
      <w:r>
        <w:rPr>
          <w:rFonts w:ascii="Arial" w:hAnsi="Arial" w:eastAsia="Arial"/>
          <w:color w:val="222222"/>
          <w:sz w:val="22"/>
        </w:rPr>
        <w:t>A lén lút lấy 50 triệu thuộc sở hữu của Hùng khi Hùng vắng nhà. Đây là hành vi xác định, trái pháp luật và xâm phạm quan hệ sở hữu.</w:t>
      </w:r>
    </w:p>
    <w:p>
      <w:pPr>
        <w:spacing w:after="80"/>
      </w:pPr>
      <w:r>
        <w:rPr>
          <w:rFonts w:ascii="Arial" w:hAnsi="Arial" w:eastAsia="Arial"/>
          <w:b/>
          <w:color w:val="222222"/>
          <w:sz w:val="22"/>
        </w:rPr>
        <w:t xml:space="preserve">Mặt khách quan – hành vi: </w:t>
      </w:r>
      <w:r>
        <w:rPr>
          <w:rFonts w:ascii="Arial" w:hAnsi="Arial" w:eastAsia="Arial"/>
          <w:color w:val="222222"/>
          <w:sz w:val="22"/>
        </w:rPr>
        <w:t>Thủ đoạn là lợi dụng chủ tài sản vắng mặt và tủ không khóa để bí mật chiếm đoạt. Tủ không khóa không làm mất quyền sở hữu và không phải sự đồng ý giao tài sản.</w:t>
      </w:r>
    </w:p>
    <w:p>
      <w:pPr>
        <w:spacing w:after="80"/>
      </w:pPr>
      <w:r>
        <w:rPr>
          <w:rFonts w:ascii="Arial" w:hAnsi="Arial" w:eastAsia="Arial"/>
          <w:b/>
          <w:color w:val="222222"/>
          <w:sz w:val="22"/>
        </w:rPr>
        <w:t xml:space="preserve">Mặt khách quan – hậu quả: </w:t>
      </w:r>
      <w:r>
        <w:rPr>
          <w:rFonts w:ascii="Arial" w:hAnsi="Arial" w:eastAsia="Arial"/>
          <w:color w:val="222222"/>
          <w:sz w:val="22"/>
        </w:rPr>
        <w:t>Hùng bị mất 50 triệu đồng. Vì vậy đáp án cũ ghi “không có hậu quả” là sai.</w:t>
      </w:r>
    </w:p>
    <w:p>
      <w:pPr>
        <w:spacing w:after="80"/>
      </w:pPr>
      <w:r>
        <w:rPr>
          <w:rFonts w:ascii="Arial" w:hAnsi="Arial" w:eastAsia="Arial"/>
          <w:b/>
          <w:color w:val="222222"/>
          <w:sz w:val="22"/>
        </w:rPr>
        <w:t xml:space="preserve">Quan hệ nhân quả: </w:t>
      </w:r>
      <w:r>
        <w:rPr>
          <w:rFonts w:ascii="Arial" w:hAnsi="Arial" w:eastAsia="Arial"/>
          <w:color w:val="222222"/>
          <w:sz w:val="22"/>
        </w:rPr>
        <w:t>Hậu quả mất tài sản phát sinh trực tiếp từ hành vi A lấy và mang tiền đi sử dụng.</w:t>
      </w:r>
    </w:p>
    <w:p>
      <w:pPr>
        <w:spacing w:after="80"/>
      </w:pPr>
      <w:r>
        <w:rPr>
          <w:rFonts w:ascii="Arial" w:hAnsi="Arial" w:eastAsia="Arial"/>
          <w:b/>
          <w:color w:val="222222"/>
          <w:sz w:val="22"/>
        </w:rPr>
        <w:t xml:space="preserve">Dấu hiệu khác: </w:t>
      </w:r>
      <w:r>
        <w:rPr>
          <w:rFonts w:ascii="Arial" w:hAnsi="Arial" w:eastAsia="Arial"/>
          <w:color w:val="222222"/>
          <w:sz w:val="22"/>
        </w:rPr>
        <w:t>Thời gian là 02/02/2020; địa điểm nhà Hùng; tiền 50 triệu là đối tượng tác động. Không nhất thiết phải xác định “phương tiện phạm tội” nếu không có.</w:t>
      </w:r>
    </w:p>
    <w:p>
      <w:pPr>
        <w:spacing w:after="80"/>
      </w:pPr>
      <w:r>
        <w:rPr>
          <w:rFonts w:ascii="Arial" w:hAnsi="Arial" w:eastAsia="Arial"/>
          <w:b/>
          <w:color w:val="222222"/>
          <w:sz w:val="22"/>
        </w:rPr>
        <w:t xml:space="preserve">Mặt chủ quan – lỗi: </w:t>
      </w:r>
      <w:r>
        <w:rPr>
          <w:rFonts w:ascii="Arial" w:hAnsi="Arial" w:eastAsia="Arial"/>
          <w:color w:val="222222"/>
          <w:sz w:val="22"/>
        </w:rPr>
        <w:t>A nhận thức tiền thuộc Hùng, biết hành vi lấy là trái pháp luật và mong muốn chiếm đoạt để sử dụng nên là cố ý trực tiếp, không phải cố ý gián tiếp.</w:t>
      </w:r>
    </w:p>
    <w:p>
      <w:pPr>
        <w:spacing w:after="80"/>
      </w:pPr>
      <w:r>
        <w:rPr>
          <w:rFonts w:ascii="Arial" w:hAnsi="Arial" w:eastAsia="Arial"/>
          <w:b/>
          <w:color w:val="222222"/>
          <w:sz w:val="22"/>
        </w:rPr>
        <w:t xml:space="preserve">Động cơ và mục đích: </w:t>
      </w:r>
      <w:r>
        <w:rPr>
          <w:rFonts w:ascii="Arial" w:hAnsi="Arial" w:eastAsia="Arial"/>
          <w:color w:val="222222"/>
          <w:sz w:val="22"/>
        </w:rPr>
        <w:t>Động cơ là cần tiền đóng học phí và mua xe; mục đích pháp lý trực tiếp vẫn là chiếm đoạt tài sản. Hoàn cảnh khó khăn không loại trừ lỗi, có thể chỉ được xem xét khi lượng hình nếu pháp luật cho phép.</w:t>
      </w:r>
    </w:p>
    <w:p>
      <w:pPr>
        <w:spacing w:after="80"/>
      </w:pPr>
      <w:r>
        <w:rPr>
          <w:rFonts w:ascii="Arial" w:hAnsi="Arial" w:eastAsia="Arial"/>
          <w:b/>
          <w:color w:val="222222"/>
          <w:sz w:val="22"/>
        </w:rPr>
        <w:t xml:space="preserve">Chủ thể: </w:t>
      </w:r>
      <w:r>
        <w:rPr>
          <w:rFonts w:ascii="Arial" w:hAnsi="Arial" w:eastAsia="Arial"/>
          <w:color w:val="222222"/>
          <w:sz w:val="22"/>
        </w:rPr>
        <w:t>A 23 tuổi, giả định có khả năng nhận thức và điều khiển hành vi, nên có năng lực trách nhiệm pháp lý và trách nhiệm hình sự.</w:t>
      </w:r>
    </w:p>
    <w:p>
      <w:pPr>
        <w:spacing w:after="80"/>
      </w:pPr>
      <w:r>
        <w:rPr>
          <w:rFonts w:ascii="Arial" w:hAnsi="Arial" w:eastAsia="Arial"/>
          <w:b/>
          <w:color w:val="222222"/>
          <w:sz w:val="22"/>
        </w:rPr>
        <w:t xml:space="preserve">Khách thể: </w:t>
      </w:r>
      <w:r>
        <w:rPr>
          <w:rFonts w:ascii="Arial" w:hAnsi="Arial" w:eastAsia="Arial"/>
          <w:color w:val="222222"/>
          <w:sz w:val="22"/>
        </w:rPr>
        <w:t>Quan hệ sở hữu tài sản được pháp luật bảo vệ; không ghi khách thể là “anh Hùng”.</w:t>
      </w:r>
    </w:p>
    <w:p>
      <w:pPr>
        <w:spacing w:after="80"/>
      </w:pPr>
      <w:r>
        <w:rPr>
          <w:rFonts w:ascii="Arial" w:hAnsi="Arial" w:eastAsia="Arial"/>
          <w:b/>
          <w:color w:val="222222"/>
          <w:sz w:val="22"/>
        </w:rPr>
        <w:t xml:space="preserve">Phân loại vi phạm: </w:t>
      </w:r>
      <w:r>
        <w:rPr>
          <w:rFonts w:ascii="Arial" w:hAnsi="Arial" w:eastAsia="Arial"/>
          <w:color w:val="222222"/>
          <w:sz w:val="22"/>
        </w:rPr>
        <w:t>Hành vi có dấu hiệu tội trộm cắp tài sản vì phương thức chiếm đoạt là lén lút. Với giá trị 50 triệu đồng, nếu định khung cần đối chiếu khoản tương ứng của Điều 173 BLHS hiện hành.</w:t>
      </w:r>
    </w:p>
    <w:p>
      <w:pPr>
        <w:spacing w:after="80"/>
      </w:pPr>
      <w:r>
        <w:rPr>
          <w:rFonts w:ascii="Arial" w:hAnsi="Arial" w:eastAsia="Arial"/>
          <w:b/>
          <w:color w:val="222222"/>
          <w:sz w:val="22"/>
        </w:rPr>
        <w:t xml:space="preserve">Trách nhiệm khác: </w:t>
      </w:r>
      <w:r>
        <w:rPr>
          <w:rFonts w:ascii="Arial" w:hAnsi="Arial" w:eastAsia="Arial"/>
          <w:color w:val="222222"/>
          <w:sz w:val="22"/>
        </w:rPr>
        <w:t>A phải hoàn trả tài sản, bồi thường thiệt hại và có thể bị xử lý kỷ luật theo quy định của trường nếu hành vi ảnh hưởng tư cách sinh viên, nhưng các trách nhiệm này không thay thế trách nhiệm hình sự.</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Lưu ý chấm điểm: </w:t>
            </w:r>
            <w:r>
              <w:rPr>
                <w:rFonts w:ascii="Arial" w:hAnsi="Arial" w:eastAsia="Arial"/>
                <w:color w:val="17365D"/>
                <w:sz w:val="21"/>
              </w:rPr>
              <w:t>Bốn lỗi thường gặp: hậu quả “không có”; lỗi cố ý gián tiếp; khách thể là Hùng; động cơ đóng học phí làm mất tính phạm tội.</w:t>
            </w:r>
          </w:p>
        </w:tc>
      </w:tr>
    </w:tbl>
    <w:p>
      <w:pPr>
        <w:spacing w:after="0"/>
      </w:pPr>
    </w:p>
    <w:p>
      <w:pPr>
        <w:pStyle w:val="Heading2"/>
      </w:pPr>
      <w:r>
        <w:t>Bài 33. Xác định giả định – quy định – chế tài trong quy phạm xử phạt</w:t>
      </w:r>
    </w:p>
    <w:p>
      <w:r>
        <w:rPr>
          <w:rFonts w:ascii="Arial" w:hAnsi="Arial" w:eastAsia="Arial"/>
          <w:b/>
          <w:color w:val="17365D"/>
          <w:sz w:val="22"/>
        </w:rPr>
        <w:t xml:space="preserve">Đề bài: </w:t>
      </w:r>
      <w:r>
        <w:rPr>
          <w:rFonts w:ascii="Arial" w:hAnsi="Arial" w:eastAsia="Arial"/>
          <w:color w:val="222222"/>
          <w:sz w:val="22"/>
        </w:rPr>
        <w:t>Phân tích quy phạm: “Phạt tiền từ 100.000 đồng đến 200.000 đồng đối với người điều khiển, người ngồi trên xe máy không đội mũ bảo hiểm hoặc đội mũ bảo hiểm không cài đúng quy cách khi tham gia giao thông trên đường bộ” (trích quy định tại Nghị định 71/2012/NĐ-CP sửa đổi Nghị định 34/2010/NĐ-CP).</w:t>
      </w:r>
    </w:p>
    <w:p>
      <w:pPr>
        <w:pStyle w:val="Heading3"/>
      </w:pPr>
      <w:r>
        <w:t>Gợi ý giải</w:t>
      </w:r>
    </w:p>
    <w:p>
      <w:pPr>
        <w:spacing w:after="80"/>
      </w:pPr>
      <w:r>
        <w:rPr>
          <w:rFonts w:ascii="Arial" w:hAnsi="Arial" w:eastAsia="Arial"/>
          <w:b/>
          <w:color w:val="222222"/>
          <w:sz w:val="22"/>
        </w:rPr>
        <w:t xml:space="preserve">Lưu ý về hiệu lực: </w:t>
      </w:r>
      <w:r>
        <w:rPr>
          <w:rFonts w:ascii="Arial" w:hAnsi="Arial" w:eastAsia="Arial"/>
          <w:color w:val="222222"/>
          <w:sz w:val="22"/>
        </w:rPr>
        <w:t>Hai nghị định được dẫn trong đề đã hết hiệu lực. Tuy nhiên nếu đề chỉ yêu cầu nhận diện cấu trúc quy phạm thì vẫn có thể phân tích chính câu chữ được cung cấp; không dùng mức phạt này để tư vấn pháp luật hiện hành.</w:t>
      </w:r>
    </w:p>
    <w:p>
      <w:pPr>
        <w:spacing w:after="80"/>
      </w:pPr>
      <w:r>
        <w:rPr>
          <w:rFonts w:ascii="Arial" w:hAnsi="Arial" w:eastAsia="Arial"/>
          <w:b/>
          <w:color w:val="222222"/>
          <w:sz w:val="22"/>
        </w:rPr>
        <w:t xml:space="preserve">Giả định: </w:t>
      </w:r>
      <w:r>
        <w:rPr>
          <w:rFonts w:ascii="Arial" w:hAnsi="Arial" w:eastAsia="Arial"/>
          <w:color w:val="222222"/>
          <w:sz w:val="22"/>
        </w:rPr>
        <w:t>Chủ thể là người điều khiển hoặc người ngồi trên xe máy; hoàn cảnh là khi tham gia giao thông trên đường bộ; điều kiện là không đội mũ hoặc đội nhưng không cài đúng quy cách.</w:t>
      </w:r>
    </w:p>
    <w:p>
      <w:pPr>
        <w:spacing w:after="80"/>
      </w:pPr>
      <w:r>
        <w:rPr>
          <w:rFonts w:ascii="Arial" w:hAnsi="Arial" w:eastAsia="Arial"/>
          <w:b/>
          <w:color w:val="222222"/>
          <w:sz w:val="22"/>
        </w:rPr>
        <w:t xml:space="preserve">Quy định: </w:t>
      </w:r>
      <w:r>
        <w:rPr>
          <w:rFonts w:ascii="Arial" w:hAnsi="Arial" w:eastAsia="Arial"/>
          <w:color w:val="222222"/>
          <w:sz w:val="22"/>
        </w:rPr>
        <w:t>Phần quy định không được viết trực tiếp dưới dạng mệnh lệnh mà được hiểu ngầm: người điều khiển và người ngồi trên xe máy khi tham gia giao thông phải đội mũ bảo hiểm và cài đúng quy cách.</w:t>
      </w:r>
    </w:p>
    <w:p>
      <w:pPr>
        <w:spacing w:after="80"/>
      </w:pPr>
      <w:r>
        <w:rPr>
          <w:rFonts w:ascii="Arial" w:hAnsi="Arial" w:eastAsia="Arial"/>
          <w:b/>
          <w:color w:val="222222"/>
          <w:sz w:val="22"/>
        </w:rPr>
        <w:t xml:space="preserve">Chế tài: </w:t>
      </w:r>
      <w:r>
        <w:rPr>
          <w:rFonts w:ascii="Arial" w:hAnsi="Arial" w:eastAsia="Arial"/>
          <w:color w:val="222222"/>
          <w:sz w:val="22"/>
        </w:rPr>
        <w:t>Phạt tiền từ 100.000 đến 200.000 đồng đối với chủ thể vi phạm.</w:t>
      </w:r>
    </w:p>
    <w:p>
      <w:pPr>
        <w:spacing w:after="80"/>
      </w:pPr>
      <w:r>
        <w:rPr>
          <w:rFonts w:ascii="Arial" w:hAnsi="Arial" w:eastAsia="Arial"/>
          <w:b/>
          <w:color w:val="222222"/>
          <w:sz w:val="22"/>
        </w:rPr>
        <w:t xml:space="preserve">Giải thích cấu trúc: </w:t>
      </w:r>
      <w:r>
        <w:rPr>
          <w:rFonts w:ascii="Arial" w:hAnsi="Arial" w:eastAsia="Arial"/>
          <w:color w:val="222222"/>
          <w:sz w:val="22"/>
        </w:rPr>
        <w:t>Cụm mô tả người và hành vi trong điều khoản xử phạt vừa xác định phạm vi áp dụng của chế tài; quy tắc phải đội mũ có thể được quy định rõ ở luật giao thông và được dẫn chiếu ngầm.</w:t>
      </w:r>
    </w:p>
    <w:p>
      <w:pPr>
        <w:spacing w:after="80"/>
      </w:pPr>
      <w:r>
        <w:rPr>
          <w:rFonts w:ascii="Arial" w:hAnsi="Arial" w:eastAsia="Arial"/>
          <w:b/>
          <w:color w:val="222222"/>
          <w:sz w:val="22"/>
        </w:rPr>
        <w:t xml:space="preserve">Kết luận: </w:t>
      </w:r>
      <w:r>
        <w:rPr>
          <w:rFonts w:ascii="Arial" w:hAnsi="Arial" w:eastAsia="Arial"/>
          <w:color w:val="222222"/>
          <w:sz w:val="22"/>
        </w:rPr>
        <w:t>Giả định trả lời ai, khi nào, trong hoàn cảnh nào; quy định trả lời phải làm gì; chế tài trả lời hậu quả bất lợi khi không thực hiện.</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Lưu ý chấm điểm: </w:t>
            </w:r>
            <w:r>
              <w:rPr>
                <w:rFonts w:ascii="Arial" w:hAnsi="Arial" w:eastAsia="Arial"/>
                <w:color w:val="17365D"/>
                <w:sz w:val="21"/>
              </w:rPr>
              <w:t>Không lấy cụm “không đội mũ” làm phần quy định cấm một cách máy móc mà bỏ việc diễn đạt quy tắc tích cực “phải đội và cài đúng”.</w:t>
            </w:r>
          </w:p>
        </w:tc>
      </w:tr>
    </w:tbl>
    <w:p>
      <w:pPr>
        <w:spacing w:after="0"/>
      </w:pPr>
    </w:p>
    <w:p>
      <w:pPr>
        <w:pStyle w:val="Heading2"/>
      </w:pPr>
      <w:r>
        <w:t>Bài 34. Hai lần mở thừa kế – ông Thành, bà An và bà Mai</w:t>
      </w:r>
    </w:p>
    <w:p>
      <w:r>
        <w:rPr>
          <w:rFonts w:ascii="Arial" w:hAnsi="Arial" w:eastAsia="Arial"/>
          <w:b/>
          <w:color w:val="17365D"/>
          <w:sz w:val="22"/>
        </w:rPr>
        <w:t xml:space="preserve">Đề bài: </w:t>
      </w:r>
      <w:r>
        <w:rPr>
          <w:rFonts w:ascii="Arial" w:hAnsi="Arial" w:eastAsia="Arial"/>
          <w:color w:val="222222"/>
          <w:sz w:val="22"/>
        </w:rPr>
        <w:t>Ông Thành và bà An kết hôn hợp pháp, có hai con Hà (1975), Hồng (1977), tạo lập ngôi nhà số 30 trị giá 540 triệu đồng. Năm 2000, dù đang có vợ và được bà An đồng ý, ông Thành chung sống với bà Mai, có hai con Hằng (2001), Thái (2002). Ông Thành và bà Mai mua ngôi nhà số 14 trị giá 120 triệu đồng để ba mẹ con bà Mai ở. Năm 2018 bà An chết không để lại di chúc; năm 2020 ông Thành chết không để lại di chúc. Xác định di sản và chia thừa kế. Giả định cha mẹ của ông Thành, bà An đều đã chết, không có nghĩa vụ tài sản và công sức mua nhà số 14 của ông Thành, bà Mai ngang nhau.</w:t>
      </w:r>
    </w:p>
    <w:p>
      <w:pPr>
        <w:pStyle w:val="Heading3"/>
      </w:pPr>
      <w:r>
        <w:t>Gợi ý giải</w:t>
      </w:r>
    </w:p>
    <w:p>
      <w:pPr>
        <w:spacing w:after="80"/>
      </w:pPr>
      <w:r>
        <w:rPr>
          <w:rFonts w:ascii="Arial" w:hAnsi="Arial" w:eastAsia="Arial"/>
          <w:b/>
          <w:color w:val="222222"/>
          <w:sz w:val="22"/>
        </w:rPr>
        <w:t xml:space="preserve">Tư cách của bà Mai: </w:t>
      </w:r>
      <w:r>
        <w:rPr>
          <w:rFonts w:ascii="Arial" w:hAnsi="Arial" w:eastAsia="Arial"/>
          <w:color w:val="222222"/>
          <w:sz w:val="22"/>
        </w:rPr>
        <w:t>Việc bà An đồng ý không làm quan hệ giữa ông Thành và bà Mai hợp pháp, vì ông Thành đang có vợ và pháp luật bảo vệ chế độ một vợ một chồng. Bà Mai không phải vợ hợp pháp, không hưởng thừa kế với tư cách vợ.</w:t>
      </w:r>
    </w:p>
    <w:p>
      <w:pPr>
        <w:spacing w:after="80"/>
      </w:pPr>
      <w:r>
        <w:rPr>
          <w:rFonts w:ascii="Arial" w:hAnsi="Arial" w:eastAsia="Arial"/>
          <w:b/>
          <w:color w:val="222222"/>
          <w:sz w:val="22"/>
        </w:rPr>
        <w:t xml:space="preserve">Quyền của Hằng và Thái: </w:t>
      </w:r>
      <w:r>
        <w:rPr>
          <w:rFonts w:ascii="Arial" w:hAnsi="Arial" w:eastAsia="Arial"/>
          <w:color w:val="222222"/>
          <w:sz w:val="22"/>
        </w:rPr>
        <w:t>Con sinh từ quan hệ không hợp pháp vẫn có quyền bình đẳng. Khi quan hệ cha con được xác định, Hằng và Thái thuộc hàng thừa kế thứ nhất của ông Thành.</w:t>
      </w:r>
    </w:p>
    <w:p>
      <w:pPr>
        <w:spacing w:after="80"/>
      </w:pPr>
      <w:r>
        <w:rPr>
          <w:rFonts w:ascii="Arial" w:hAnsi="Arial" w:eastAsia="Arial"/>
          <w:b/>
          <w:color w:val="222222"/>
          <w:sz w:val="22"/>
        </w:rPr>
        <w:t xml:space="preserve">Nhà số 14: </w:t>
      </w:r>
      <w:r>
        <w:rPr>
          <w:rFonts w:ascii="Arial" w:hAnsi="Arial" w:eastAsia="Arial"/>
          <w:color w:val="222222"/>
          <w:sz w:val="22"/>
        </w:rPr>
        <w:t>Không gọi là tài sản chung vợ chồng Thành–Mai. Đây là tài sản đồng sở hữu theo công sức đóng góp. Theo giả định đóng góp ngang nhau, ông Thành và bà Mai mỗi người có 60 triệu.</w:t>
      </w:r>
    </w:p>
    <w:p>
      <w:pPr>
        <w:spacing w:after="80"/>
      </w:pPr>
      <w:r>
        <w:rPr>
          <w:rFonts w:ascii="Arial" w:hAnsi="Arial" w:eastAsia="Arial"/>
          <w:b/>
          <w:color w:val="222222"/>
          <w:sz w:val="22"/>
        </w:rPr>
        <w:t xml:space="preserve">Lần mở thừa kế thứ nhất: </w:t>
      </w:r>
      <w:r>
        <w:rPr>
          <w:rFonts w:ascii="Arial" w:hAnsi="Arial" w:eastAsia="Arial"/>
          <w:color w:val="222222"/>
          <w:sz w:val="22"/>
        </w:rPr>
        <w:t>Nhà số 30 là tài sản chung Thành–An: mỗi người 270 triệu. Di sản của bà An là 270 triệu.</w:t>
      </w:r>
    </w:p>
    <w:p>
      <w:pPr>
        <w:spacing w:after="80"/>
      </w:pPr>
      <w:r>
        <w:rPr>
          <w:rFonts w:ascii="Arial" w:hAnsi="Arial" w:eastAsia="Arial"/>
          <w:b/>
          <w:color w:val="222222"/>
          <w:sz w:val="22"/>
        </w:rPr>
        <w:t xml:space="preserve">Người hưởng di sản bà An: </w:t>
      </w:r>
      <w:r>
        <w:rPr>
          <w:rFonts w:ascii="Arial" w:hAnsi="Arial" w:eastAsia="Arial"/>
          <w:color w:val="222222"/>
          <w:sz w:val="22"/>
        </w:rPr>
        <w:t>Hàng thứ nhất gồm ông Thành, Hà và Hồng theo giả định cha mẹ bà An đã chết. Mỗi người hưởng 270/3 = 90 triệu.</w:t>
      </w:r>
    </w:p>
    <w:p>
      <w:pPr>
        <w:spacing w:after="80"/>
      </w:pPr>
      <w:r>
        <w:rPr>
          <w:rFonts w:ascii="Arial" w:hAnsi="Arial" w:eastAsia="Arial"/>
          <w:b/>
          <w:color w:val="222222"/>
          <w:sz w:val="22"/>
        </w:rPr>
        <w:t xml:space="preserve">Tài sản ông Thành sau lần thứ nhất: </w:t>
      </w:r>
      <w:r>
        <w:rPr>
          <w:rFonts w:ascii="Arial" w:hAnsi="Arial" w:eastAsia="Arial"/>
          <w:color w:val="222222"/>
          <w:sz w:val="22"/>
        </w:rPr>
        <w:t>Ông Thành có 270 triệu là phần của mình trong nhà số 30 và 90 triệu thừa kế từ bà An, tổng 360 triệu.</w:t>
      </w:r>
    </w:p>
    <w:p>
      <w:pPr>
        <w:spacing w:after="80"/>
      </w:pPr>
      <w:r>
        <w:rPr>
          <w:rFonts w:ascii="Arial" w:hAnsi="Arial" w:eastAsia="Arial"/>
          <w:b/>
          <w:color w:val="222222"/>
          <w:sz w:val="22"/>
        </w:rPr>
        <w:t xml:space="preserve">Lần mở thừa kế thứ hai: </w:t>
      </w:r>
      <w:r>
        <w:rPr>
          <w:rFonts w:ascii="Arial" w:hAnsi="Arial" w:eastAsia="Arial"/>
          <w:color w:val="222222"/>
          <w:sz w:val="22"/>
        </w:rPr>
        <w:t>Di sản ông Thành năm 2020 gồm 360 triệu và 60 triệu phần sở hữu trong nhà số 14, tổng 420 triệu.</w:t>
      </w:r>
    </w:p>
    <w:p>
      <w:pPr>
        <w:spacing w:after="80"/>
      </w:pPr>
      <w:r>
        <w:rPr>
          <w:rFonts w:ascii="Arial" w:hAnsi="Arial" w:eastAsia="Arial"/>
          <w:b/>
          <w:color w:val="222222"/>
          <w:sz w:val="22"/>
        </w:rPr>
        <w:t xml:space="preserve">Người hưởng di sản ông Thành: </w:t>
      </w:r>
      <w:r>
        <w:rPr>
          <w:rFonts w:ascii="Arial" w:hAnsi="Arial" w:eastAsia="Arial"/>
          <w:color w:val="222222"/>
          <w:sz w:val="22"/>
        </w:rPr>
        <w:t>Bà An đã chết; bà Mai không phải vợ hợp pháp; bốn người con Hà, Hồng, Hằng, Thái cùng hàng thứ nhất. Mỗi người hưởng 420/4 = 105 triệu.</w:t>
      </w:r>
    </w:p>
    <w:p>
      <w:pPr>
        <w:spacing w:after="80"/>
      </w:pPr>
      <w:r>
        <w:rPr>
          <w:rFonts w:ascii="Arial" w:hAnsi="Arial" w:eastAsia="Arial"/>
          <w:b/>
          <w:color w:val="222222"/>
          <w:sz w:val="22"/>
        </w:rPr>
        <w:t xml:space="preserve">Kết quả cuối: </w:t>
      </w:r>
      <w:r>
        <w:rPr>
          <w:rFonts w:ascii="Arial" w:hAnsi="Arial" w:eastAsia="Arial"/>
          <w:color w:val="222222"/>
          <w:sz w:val="22"/>
        </w:rPr>
        <w:t>Hà: 90 + 105 = 195 triệu; Hồng: 195 triệu; Hằng: 105 triệu; Thái: 105 triệu. Bà Mai giữ 60 triệu là phần sở hữu của mình trong nhà số 14, không phải phần thừa kế.</w:t>
      </w:r>
    </w:p>
    <w:p>
      <w:pPr>
        <w:spacing w:after="80"/>
      </w:pPr>
      <w:r>
        <w:rPr>
          <w:rFonts w:ascii="Arial" w:hAnsi="Arial" w:eastAsia="Arial"/>
          <w:b/>
          <w:color w:val="222222"/>
          <w:sz w:val="22"/>
        </w:rPr>
        <w:t xml:space="preserve">Kiểm tra: </w:t>
      </w:r>
      <w:r>
        <w:rPr>
          <w:rFonts w:ascii="Arial" w:hAnsi="Arial" w:eastAsia="Arial"/>
          <w:color w:val="222222"/>
          <w:sz w:val="22"/>
        </w:rPr>
        <w:t>Tổng quyền lợi từ di sản bà An là 270 triệu; tổng di sản ông Thành là 420 triệu. Các con được hưởng bình đẳng, không phân biệt con trong quan hệ hôn nhân hợp pháp hay không.</w:t>
      </w:r>
    </w:p>
    <w:p>
      <w:pPr>
        <w:spacing w:after="80"/>
      </w:pPr>
      <w:r>
        <w:rPr>
          <w:rFonts w:ascii="Arial" w:hAnsi="Arial" w:eastAsia="Arial"/>
          <w:b/>
          <w:color w:val="222222"/>
          <w:sz w:val="22"/>
        </w:rPr>
        <w:t xml:space="preserve">Phân nhánh cần nêu: </w:t>
      </w:r>
      <w:r>
        <w:rPr>
          <w:rFonts w:ascii="Arial" w:hAnsi="Arial" w:eastAsia="Arial"/>
          <w:color w:val="222222"/>
          <w:sz w:val="22"/>
        </w:rPr>
        <w:t>Nếu cha mẹ của người chết còn sống, có nghĩa vụ tài sản hoặc tỷ lệ đóng góp vào nhà số 14 không bằng nhau thì kết quả thay đổi. Bài thi nên ghi rõ các giả định.</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Lưu ý chấm điểm: </w:t>
            </w:r>
            <w:r>
              <w:rPr>
                <w:rFonts w:ascii="Arial" w:hAnsi="Arial" w:eastAsia="Arial"/>
                <w:color w:val="17365D"/>
                <w:sz w:val="21"/>
              </w:rPr>
              <w:t>Điểm khó là phải tách hai lần mở thừa kế, tách tài sản chung và không coi bà Mai là vợ hợp pháp.</w:t>
            </w:r>
          </w:p>
        </w:tc>
      </w:tr>
    </w:tbl>
    <w:p>
      <w:pPr>
        <w:spacing w:after="0"/>
      </w:pPr>
    </w:p>
    <w:p>
      <w:pPr>
        <w:pStyle w:val="Heading2"/>
      </w:pPr>
      <w:r>
        <w:t>Bài 35. Chia thừa kế – ông Dũng, bà Dung và bà Thơm</w:t>
      </w:r>
    </w:p>
    <w:p>
      <w:r>
        <w:rPr>
          <w:rFonts w:ascii="Arial" w:hAnsi="Arial" w:eastAsia="Arial"/>
          <w:b/>
          <w:color w:val="17365D"/>
          <w:sz w:val="22"/>
        </w:rPr>
        <w:t xml:space="preserve">Đề bài: </w:t>
      </w:r>
      <w:r>
        <w:rPr>
          <w:rFonts w:ascii="Arial" w:hAnsi="Arial" w:eastAsia="Arial"/>
          <w:color w:val="222222"/>
          <w:sz w:val="22"/>
        </w:rPr>
        <w:t>Ông Dũng và bà Dung kết hôn hợp pháp, có hai con Hoa, Hà và tài sản chung là nhà trị giá 850 triệu đồng. Ông Dũng có tài sản riêng 9 triệu. Năm 1980, trong khi hôn nhân với bà Dung còn tồn tại, ông Dũng chung sống với bà Thơm và có con Thu. Năm 1997 bà Dung chết không di chúc; năm 2000 ông Dũng chết không di chúc. Sau khi bà Dung chết, ông Dũng và bà Thơm tiếp tục chung sống nhưng không đăng ký. Giả định cha mẹ hai người đã chết và không có nghĩa vụ tài sản.</w:t>
      </w:r>
    </w:p>
    <w:p>
      <w:pPr>
        <w:pStyle w:val="Heading3"/>
      </w:pPr>
      <w:r>
        <w:t>Gợi ý giải</w:t>
      </w:r>
    </w:p>
    <w:p>
      <w:pPr>
        <w:spacing w:after="80"/>
      </w:pPr>
      <w:r>
        <w:rPr>
          <w:rFonts w:ascii="Arial" w:hAnsi="Arial" w:eastAsia="Arial"/>
          <w:b/>
          <w:color w:val="222222"/>
          <w:sz w:val="22"/>
        </w:rPr>
        <w:t xml:space="preserve">Di sản bà Dung: </w:t>
      </w:r>
      <w:r>
        <w:rPr>
          <w:rFonts w:ascii="Arial" w:hAnsi="Arial" w:eastAsia="Arial"/>
          <w:color w:val="222222"/>
          <w:sz w:val="22"/>
        </w:rPr>
        <w:t>Nhà 850 triệu là tài sản chung nên phần của bà Dung là 425 triệu. Đây mới là di sản lần thứ nhất.</w:t>
      </w:r>
    </w:p>
    <w:p>
      <w:pPr>
        <w:spacing w:after="80"/>
      </w:pPr>
      <w:r>
        <w:rPr>
          <w:rFonts w:ascii="Arial" w:hAnsi="Arial" w:eastAsia="Arial"/>
          <w:b/>
          <w:color w:val="222222"/>
          <w:sz w:val="22"/>
        </w:rPr>
        <w:t xml:space="preserve">Người thừa kế bà Dung: </w:t>
      </w:r>
      <w:r>
        <w:rPr>
          <w:rFonts w:ascii="Arial" w:hAnsi="Arial" w:eastAsia="Arial"/>
          <w:color w:val="222222"/>
          <w:sz w:val="22"/>
        </w:rPr>
        <w:t>Ông Dũng, Hoa và Hà cùng hàng thứ nhất; mỗi người hưởng 425/3 = 141,666 triệu đồng.</w:t>
      </w:r>
    </w:p>
    <w:p>
      <w:pPr>
        <w:spacing w:after="80"/>
      </w:pPr>
      <w:r>
        <w:rPr>
          <w:rFonts w:ascii="Arial" w:hAnsi="Arial" w:eastAsia="Arial"/>
          <w:b/>
          <w:color w:val="222222"/>
          <w:sz w:val="22"/>
        </w:rPr>
        <w:t xml:space="preserve">Tài sản của ông Dũng: </w:t>
      </w:r>
      <w:r>
        <w:rPr>
          <w:rFonts w:ascii="Arial" w:hAnsi="Arial" w:eastAsia="Arial"/>
          <w:color w:val="222222"/>
          <w:sz w:val="22"/>
        </w:rPr>
        <w:t>Phần của ông trong nhà: 425 triệu; tài sản riêng: 9 triệu; thừa kế từ bà Dung: 141,666 triệu. Tổng khoảng 575,666 triệu.</w:t>
      </w:r>
    </w:p>
    <w:p>
      <w:pPr>
        <w:spacing w:after="80"/>
      </w:pPr>
      <w:r>
        <w:rPr>
          <w:rFonts w:ascii="Arial" w:hAnsi="Arial" w:eastAsia="Arial"/>
          <w:b/>
          <w:color w:val="222222"/>
          <w:sz w:val="22"/>
        </w:rPr>
        <w:t xml:space="preserve">Tư cách bà Thơm: </w:t>
      </w:r>
      <w:r>
        <w:rPr>
          <w:rFonts w:ascii="Arial" w:hAnsi="Arial" w:eastAsia="Arial"/>
          <w:color w:val="222222"/>
          <w:sz w:val="22"/>
        </w:rPr>
        <w:t>Quan hệ năm 1980 hình thành khi ông Dũng đang có vợ, vi phạm một vợ một chồng; sau khi bà Dung chết hai người vẫn không đăng ký. Theo dữ kiện, bà Thơm không được xác định là vợ hợp pháp của ông Dũng và không hưởng với tư cách vợ.</w:t>
      </w:r>
    </w:p>
    <w:p>
      <w:pPr>
        <w:spacing w:after="80"/>
      </w:pPr>
      <w:r>
        <w:rPr>
          <w:rFonts w:ascii="Arial" w:hAnsi="Arial" w:eastAsia="Arial"/>
          <w:b/>
          <w:color w:val="222222"/>
          <w:sz w:val="22"/>
        </w:rPr>
        <w:t xml:space="preserve">Quyền của Thu: </w:t>
      </w:r>
      <w:r>
        <w:rPr>
          <w:rFonts w:ascii="Arial" w:hAnsi="Arial" w:eastAsia="Arial"/>
          <w:color w:val="222222"/>
          <w:sz w:val="22"/>
        </w:rPr>
        <w:t>Thu là con ông Dũng nên cùng hàng thừa kế thứ nhất với Hoa và Hà.</w:t>
      </w:r>
    </w:p>
    <w:p>
      <w:pPr>
        <w:spacing w:after="80"/>
      </w:pPr>
      <w:r>
        <w:rPr>
          <w:rFonts w:ascii="Arial" w:hAnsi="Arial" w:eastAsia="Arial"/>
          <w:b/>
          <w:color w:val="222222"/>
          <w:sz w:val="22"/>
        </w:rPr>
        <w:t xml:space="preserve">Chia di sản ông Dũng: </w:t>
      </w:r>
      <w:r>
        <w:rPr>
          <w:rFonts w:ascii="Arial" w:hAnsi="Arial" w:eastAsia="Arial"/>
          <w:color w:val="222222"/>
          <w:sz w:val="22"/>
        </w:rPr>
        <w:t>Hoa, Hà, Thu mỗi người hưởng 575,666/3 ≈ 191,889 triệu đồng.</w:t>
      </w:r>
    </w:p>
    <w:p>
      <w:pPr>
        <w:spacing w:after="80"/>
      </w:pPr>
      <w:r>
        <w:rPr>
          <w:rFonts w:ascii="Arial" w:hAnsi="Arial" w:eastAsia="Arial"/>
          <w:b/>
          <w:color w:val="222222"/>
          <w:sz w:val="22"/>
        </w:rPr>
        <w:t xml:space="preserve">Kết quả cộng dồn: </w:t>
      </w:r>
      <w:r>
        <w:rPr>
          <w:rFonts w:ascii="Arial" w:hAnsi="Arial" w:eastAsia="Arial"/>
          <w:color w:val="222222"/>
          <w:sz w:val="22"/>
        </w:rPr>
        <w:t>Hoa và Hà mỗi người có khoảng 141,666 + 191,889 = 333,555 triệu; Thu khoảng 191,889 triệu.</w:t>
      </w:r>
    </w:p>
    <w:p>
      <w:pPr>
        <w:spacing w:after="80"/>
      </w:pPr>
      <w:r>
        <w:rPr>
          <w:rFonts w:ascii="Arial" w:hAnsi="Arial" w:eastAsia="Arial"/>
          <w:b/>
          <w:color w:val="222222"/>
          <w:sz w:val="22"/>
        </w:rPr>
        <w:t xml:space="preserve">Sửa lỗi đáp án cũ: </w:t>
      </w:r>
      <w:r>
        <w:rPr>
          <w:rFonts w:ascii="Arial" w:hAnsi="Arial" w:eastAsia="Arial"/>
          <w:color w:val="222222"/>
          <w:sz w:val="22"/>
        </w:rPr>
        <w:t>Không ghi di sản ngay từ đầu là 859 triệu; đó là tổng giá trị nhà và tài sản riêng, chưa tách tài sản chung. Cũng cần tính nhất quán, tránh đổi 141,67 thành 141,76.</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Lưu ý chấm điểm: </w:t>
            </w:r>
            <w:r>
              <w:rPr>
                <w:rFonts w:ascii="Arial" w:hAnsi="Arial" w:eastAsia="Arial"/>
                <w:color w:val="17365D"/>
                <w:sz w:val="21"/>
              </w:rPr>
              <w:t>Nếu đề có dữ kiện về quan hệ hôn nhân thực tế được pháp luật chuyển tiếp công nhận thì phải phân tích thêm; nhưng quan hệ vi phạm hôn nhân đang tồn tại không được hợp pháp hóa chỉ vì có sự đồng ý.</w:t>
            </w:r>
          </w:p>
        </w:tc>
      </w:tr>
    </w:tbl>
    <w:p>
      <w:pPr>
        <w:spacing w:after="0"/>
      </w:pPr>
    </w:p>
    <w:p>
      <w:pPr>
        <w:pStyle w:val="Heading2"/>
      </w:pPr>
      <w:r>
        <w:t>Bài 36. Lấy xe sau khi được nhờ sửa – định tội và trách nhiệm người giữ xe</w:t>
      </w:r>
    </w:p>
    <w:p>
      <w:r>
        <w:rPr>
          <w:rFonts w:ascii="Arial" w:hAnsi="Arial" w:eastAsia="Arial"/>
          <w:b/>
          <w:color w:val="17365D"/>
          <w:sz w:val="22"/>
        </w:rPr>
        <w:t xml:space="preserve">Đề bài: </w:t>
      </w:r>
      <w:r>
        <w:rPr>
          <w:rFonts w:ascii="Arial" w:hAnsi="Arial" w:eastAsia="Arial"/>
          <w:color w:val="222222"/>
          <w:sz w:val="22"/>
        </w:rPr>
        <w:t>Chị A đi xe máy thì xe chết máy. A nhờ H sửa. Sau khi sửa, H ngồi lên xe, nổ máy và phóng đi dù A hô giữ lại; sau đó H gửi xe ở nhà B rồi bán được 12 triệu. H phạm tội gì? B có chịu trách nhiệm không?</w:t>
      </w:r>
    </w:p>
    <w:p>
      <w:pPr>
        <w:pStyle w:val="Heading3"/>
      </w:pPr>
      <w:r>
        <w:t>Gợi ý giải</w:t>
      </w:r>
    </w:p>
    <w:p>
      <w:pPr>
        <w:spacing w:after="80"/>
      </w:pPr>
      <w:r>
        <w:rPr>
          <w:rFonts w:ascii="Arial" w:hAnsi="Arial" w:eastAsia="Arial"/>
          <w:b/>
          <w:color w:val="222222"/>
          <w:sz w:val="22"/>
        </w:rPr>
        <w:t xml:space="preserve">Không phải tội cướp: </w:t>
      </w:r>
      <w:r>
        <w:rPr>
          <w:rFonts w:ascii="Arial" w:hAnsi="Arial" w:eastAsia="Arial"/>
          <w:color w:val="222222"/>
          <w:sz w:val="22"/>
        </w:rPr>
        <w:t>H không dùng vũ lực, đe dọa dùng ngay tức khắc vũ lực hoặc thủ đoạn làm A lâm vào tình trạng không thể chống cự.</w:t>
      </w:r>
    </w:p>
    <w:p>
      <w:pPr>
        <w:spacing w:after="80"/>
      </w:pPr>
      <w:r>
        <w:rPr>
          <w:rFonts w:ascii="Arial" w:hAnsi="Arial" w:eastAsia="Arial"/>
          <w:b/>
          <w:color w:val="222222"/>
          <w:sz w:val="22"/>
        </w:rPr>
        <w:t xml:space="preserve">Không kết luận máy móc: </w:t>
      </w:r>
      <w:r>
        <w:rPr>
          <w:rFonts w:ascii="Arial" w:hAnsi="Arial" w:eastAsia="Arial"/>
          <w:color w:val="222222"/>
          <w:sz w:val="22"/>
        </w:rPr>
        <w:t>Cần xác định A có giao quyền quản lý xe cho H đến mức nào, thời điểm H nảy sinh ý định và khả năng ngăn cản của A.</w:t>
      </w:r>
    </w:p>
    <w:p>
      <w:pPr>
        <w:spacing w:after="80"/>
      </w:pPr>
      <w:r>
        <w:rPr>
          <w:rFonts w:ascii="Arial" w:hAnsi="Arial" w:eastAsia="Arial"/>
          <w:b/>
          <w:color w:val="222222"/>
          <w:sz w:val="22"/>
        </w:rPr>
        <w:t xml:space="preserve">Hướng thứ nhất: </w:t>
      </w:r>
      <w:r>
        <w:rPr>
          <w:rFonts w:ascii="Arial" w:hAnsi="Arial" w:eastAsia="Arial"/>
          <w:color w:val="222222"/>
          <w:sz w:val="22"/>
        </w:rPr>
        <w:t>Nếu H chỉ được tiếp cận để sửa, chưa được giao tài sản theo một quan hệ tín nhiệm có ý nghĩa pháp lý và công khai lấy xe trong tình trạng A không thể ngăn cản, có thể xem xét công nhiên chiếm đoạt.</w:t>
      </w:r>
    </w:p>
    <w:p>
      <w:pPr>
        <w:spacing w:after="80"/>
      </w:pPr>
      <w:r>
        <w:rPr>
          <w:rFonts w:ascii="Arial" w:hAnsi="Arial" w:eastAsia="Arial"/>
          <w:b/>
          <w:color w:val="222222"/>
          <w:sz w:val="22"/>
        </w:rPr>
        <w:t xml:space="preserve">Hướng thứ hai: </w:t>
      </w:r>
      <w:r>
        <w:rPr>
          <w:rFonts w:ascii="Arial" w:hAnsi="Arial" w:eastAsia="Arial"/>
          <w:color w:val="222222"/>
          <w:sz w:val="22"/>
        </w:rPr>
        <w:t>Nếu xác định A đã giao xe cho H quản lý/sửa chữa hợp pháp rồi H lợi dụng việc được giao để chiếm đoạt, có thể xem xét lạm dụng tín nhiệm khi đủ dấu hiệu.</w:t>
      </w:r>
    </w:p>
    <w:p>
      <w:pPr>
        <w:spacing w:after="80"/>
      </w:pPr>
      <w:r>
        <w:rPr>
          <w:rFonts w:ascii="Arial" w:hAnsi="Arial" w:eastAsia="Arial"/>
          <w:b/>
          <w:color w:val="222222"/>
          <w:sz w:val="22"/>
        </w:rPr>
        <w:t xml:space="preserve">Không phải cứ phóng xe là cướp giật: </w:t>
      </w:r>
      <w:r>
        <w:rPr>
          <w:rFonts w:ascii="Arial" w:hAnsi="Arial" w:eastAsia="Arial"/>
          <w:color w:val="222222"/>
          <w:sz w:val="22"/>
        </w:rPr>
        <w:t>Cướp giật đòi hỏi hành vi công khai, nhanh chóng chiếm lấy tài sản từ sự quản lý của chủ thể. Việc H đang trực tiếp sửa và nắm xe làm tình huống cần đánh giá thận trọng.</w:t>
      </w:r>
    </w:p>
    <w:p>
      <w:pPr>
        <w:spacing w:after="80"/>
      </w:pPr>
      <w:r>
        <w:rPr>
          <w:rFonts w:ascii="Arial" w:hAnsi="Arial" w:eastAsia="Arial"/>
          <w:b/>
          <w:color w:val="222222"/>
          <w:sz w:val="22"/>
        </w:rPr>
        <w:t xml:space="preserve">Trường hợp B không biết: </w:t>
      </w:r>
      <w:r>
        <w:rPr>
          <w:rFonts w:ascii="Arial" w:hAnsi="Arial" w:eastAsia="Arial"/>
          <w:color w:val="222222"/>
          <w:sz w:val="22"/>
        </w:rPr>
        <w:t>B không có lỗi, không chịu trách nhiệm về việc chứa chấp.</w:t>
      </w:r>
    </w:p>
    <w:p>
      <w:pPr>
        <w:spacing w:after="80"/>
      </w:pPr>
      <w:r>
        <w:rPr>
          <w:rFonts w:ascii="Arial" w:hAnsi="Arial" w:eastAsia="Arial"/>
          <w:b/>
          <w:color w:val="222222"/>
          <w:sz w:val="22"/>
        </w:rPr>
        <w:t xml:space="preserve">B biết sau khi nhận: </w:t>
      </w:r>
      <w:r>
        <w:rPr>
          <w:rFonts w:ascii="Arial" w:hAnsi="Arial" w:eastAsia="Arial"/>
          <w:color w:val="222222"/>
          <w:sz w:val="22"/>
        </w:rPr>
        <w:t>Nếu biết rõ xe do phạm tội mà có nhưng vẫn cất giấu, tiêu thụ và đủ điều kiện, B có thể chịu trách nhiệm về tội chứa chấp hoặc tiêu thụ tài sản do người khác phạm tội mà có.</w:t>
      </w:r>
    </w:p>
    <w:p>
      <w:pPr>
        <w:spacing w:after="80"/>
      </w:pPr>
      <w:r>
        <w:rPr>
          <w:rFonts w:ascii="Arial" w:hAnsi="Arial" w:eastAsia="Arial"/>
          <w:b/>
          <w:color w:val="222222"/>
          <w:sz w:val="22"/>
        </w:rPr>
        <w:t xml:space="preserve">B hứa hẹn trước: </w:t>
      </w:r>
      <w:r>
        <w:rPr>
          <w:rFonts w:ascii="Arial" w:hAnsi="Arial" w:eastAsia="Arial"/>
          <w:color w:val="222222"/>
          <w:sz w:val="22"/>
        </w:rPr>
        <w:t>Nếu B đã thống nhất, hứa giúp cất hoặc bán xe trước khi H chiếm đoạt, B có thể là đồng phạm của tội chiếm đoạt tương ứng.</w:t>
      </w:r>
    </w:p>
    <w:p>
      <w:pPr>
        <w:spacing w:after="80"/>
      </w:pPr>
      <w:r>
        <w:rPr>
          <w:rFonts w:ascii="Arial" w:hAnsi="Arial" w:eastAsia="Arial"/>
          <w:b/>
          <w:color w:val="222222"/>
          <w:sz w:val="22"/>
        </w:rPr>
        <w:t xml:space="preserve">Kết luận: </w:t>
      </w:r>
      <w:r>
        <w:rPr>
          <w:rFonts w:ascii="Arial" w:hAnsi="Arial" w:eastAsia="Arial"/>
          <w:color w:val="222222"/>
          <w:sz w:val="22"/>
        </w:rPr>
        <w:t>Đáp án “tội cướp của” là sai. Bài tốt phải loại trừ tội cướp và phân nhánh tội danh theo bản chất việc giao, quản lý tài sản.</w:t>
      </w:r>
    </w:p>
    <w:p>
      <w:r>
        <w:br w:type="page"/>
      </w:r>
    </w:p>
    <w:p>
      <w:pPr>
        <w:pStyle w:val="Heading1"/>
      </w:pPr>
      <w:r>
        <w:t>PHẦN IV. CHECKLIST TRƯỚC KHI ĐI THI</w:t>
      </w:r>
    </w:p>
    <w:p>
      <w:pPr>
        <w:spacing w:after="140"/>
        <w:ind w:left="216"/>
      </w:pPr>
      <w:r>
        <w:rPr>
          <w:rFonts w:ascii="Arial" w:hAnsi="Arial" w:eastAsia="Arial"/>
          <w:b/>
          <w:color w:val="1F4E79"/>
          <w:sz w:val="26"/>
        </w:rPr>
        <w:t xml:space="preserve">☐  </w:t>
      </w:r>
      <w:r>
        <w:rPr>
          <w:rFonts w:ascii="Arial" w:hAnsi="Arial" w:eastAsia="Arial"/>
          <w:color w:val="222222"/>
          <w:sz w:val="22"/>
        </w:rPr>
        <w:t>Tôi phân biệt được quy phạm pháp luật với điều luật và văn bản QPPL.</w:t>
      </w:r>
    </w:p>
    <w:p>
      <w:pPr>
        <w:spacing w:after="140"/>
        <w:ind w:left="216"/>
      </w:pPr>
      <w:r>
        <w:rPr>
          <w:rFonts w:ascii="Arial" w:hAnsi="Arial" w:eastAsia="Arial"/>
          <w:b/>
          <w:color w:val="1F4E79"/>
          <w:sz w:val="26"/>
        </w:rPr>
        <w:t xml:space="preserve">☐  </w:t>
      </w:r>
      <w:r>
        <w:rPr>
          <w:rFonts w:ascii="Arial" w:hAnsi="Arial" w:eastAsia="Arial"/>
          <w:color w:val="222222"/>
          <w:sz w:val="22"/>
        </w:rPr>
        <w:t>Tôi nhớ ba yếu tố của quan hệ pháp luật: chủ thể – nội dung – khách thể.</w:t>
      </w:r>
    </w:p>
    <w:p>
      <w:pPr>
        <w:spacing w:after="140"/>
        <w:ind w:left="216"/>
      </w:pPr>
      <w:r>
        <w:rPr>
          <w:rFonts w:ascii="Arial" w:hAnsi="Arial" w:eastAsia="Arial"/>
          <w:b/>
          <w:color w:val="1F4E79"/>
          <w:sz w:val="26"/>
        </w:rPr>
        <w:t xml:space="preserve">☐  </w:t>
      </w:r>
      <w:r>
        <w:rPr>
          <w:rFonts w:ascii="Arial" w:hAnsi="Arial" w:eastAsia="Arial"/>
          <w:color w:val="222222"/>
          <w:sz w:val="22"/>
        </w:rPr>
        <w:t>Tôi nhớ bốn dấu hiệu của vi phạm pháp luật.</w:t>
      </w:r>
    </w:p>
    <w:p>
      <w:pPr>
        <w:spacing w:after="140"/>
        <w:ind w:left="216"/>
      </w:pPr>
      <w:r>
        <w:rPr>
          <w:rFonts w:ascii="Arial" w:hAnsi="Arial" w:eastAsia="Arial"/>
          <w:b/>
          <w:color w:val="1F4E79"/>
          <w:sz w:val="26"/>
        </w:rPr>
        <w:t xml:space="preserve">☐  </w:t>
      </w:r>
      <w:r>
        <w:rPr>
          <w:rFonts w:ascii="Arial" w:hAnsi="Arial" w:eastAsia="Arial"/>
          <w:color w:val="222222"/>
          <w:sz w:val="22"/>
        </w:rPr>
        <w:t>Tôi phân tích được mặt khách quan – mặt chủ quan – chủ thể – khách thể.</w:t>
      </w:r>
    </w:p>
    <w:p>
      <w:pPr>
        <w:spacing w:after="140"/>
        <w:ind w:left="216"/>
      </w:pPr>
      <w:r>
        <w:rPr>
          <w:rFonts w:ascii="Arial" w:hAnsi="Arial" w:eastAsia="Arial"/>
          <w:b/>
          <w:color w:val="1F4E79"/>
          <w:sz w:val="26"/>
        </w:rPr>
        <w:t xml:space="preserve">☐  </w:t>
      </w:r>
      <w:r>
        <w:rPr>
          <w:rFonts w:ascii="Arial" w:hAnsi="Arial" w:eastAsia="Arial"/>
          <w:color w:val="222222"/>
          <w:sz w:val="22"/>
        </w:rPr>
        <w:t>Tôi phân biệt được sáu tội chiếm đoạt tài sản thường gặp.</w:t>
      </w:r>
    </w:p>
    <w:p>
      <w:pPr>
        <w:spacing w:after="140"/>
        <w:ind w:left="216"/>
      </w:pPr>
      <w:r>
        <w:rPr>
          <w:rFonts w:ascii="Arial" w:hAnsi="Arial" w:eastAsia="Arial"/>
          <w:b/>
          <w:color w:val="1F4E79"/>
          <w:sz w:val="26"/>
        </w:rPr>
        <w:t xml:space="preserve">☐  </w:t>
      </w:r>
      <w:r>
        <w:rPr>
          <w:rFonts w:ascii="Arial" w:hAnsi="Arial" w:eastAsia="Arial"/>
          <w:color w:val="222222"/>
          <w:sz w:val="22"/>
        </w:rPr>
        <w:t>Tôi luôn tách tài sản chung trước khi chia thừa kế.</w:t>
      </w:r>
    </w:p>
    <w:p>
      <w:pPr>
        <w:spacing w:after="140"/>
        <w:ind w:left="216"/>
      </w:pPr>
      <w:r>
        <w:rPr>
          <w:rFonts w:ascii="Arial" w:hAnsi="Arial" w:eastAsia="Arial"/>
          <w:b/>
          <w:color w:val="1F4E79"/>
          <w:sz w:val="26"/>
        </w:rPr>
        <w:t xml:space="preserve">☐  </w:t>
      </w:r>
      <w:r>
        <w:rPr>
          <w:rFonts w:ascii="Arial" w:hAnsi="Arial" w:eastAsia="Arial"/>
          <w:color w:val="222222"/>
          <w:sz w:val="22"/>
        </w:rPr>
        <w:t>Tôi biết xác định người thừa kế bắt buộc.</w:t>
      </w:r>
    </w:p>
    <w:p>
      <w:pPr>
        <w:spacing w:after="140"/>
        <w:ind w:left="216"/>
      </w:pPr>
      <w:r>
        <w:rPr>
          <w:rFonts w:ascii="Arial" w:hAnsi="Arial" w:eastAsia="Arial"/>
          <w:b/>
          <w:color w:val="1F4E79"/>
          <w:sz w:val="26"/>
        </w:rPr>
        <w:t xml:space="preserve">☐  </w:t>
      </w:r>
      <w:r>
        <w:rPr>
          <w:rFonts w:ascii="Arial" w:hAnsi="Arial" w:eastAsia="Arial"/>
          <w:color w:val="222222"/>
          <w:sz w:val="22"/>
        </w:rPr>
        <w:t>Tôi phân biệt tố cáo với khiếu nại.</w:t>
      </w:r>
    </w:p>
    <w:p>
      <w:pPr>
        <w:spacing w:after="140"/>
        <w:ind w:left="216"/>
      </w:pPr>
      <w:r>
        <w:rPr>
          <w:rFonts w:ascii="Arial" w:hAnsi="Arial" w:eastAsia="Arial"/>
          <w:b/>
          <w:color w:val="1F4E79"/>
          <w:sz w:val="26"/>
        </w:rPr>
        <w:t xml:space="preserve">☐  </w:t>
      </w:r>
      <w:r>
        <w:rPr>
          <w:rFonts w:ascii="Arial" w:hAnsi="Arial" w:eastAsia="Arial"/>
          <w:color w:val="222222"/>
          <w:sz w:val="22"/>
        </w:rPr>
        <w:t>Tôi biết tranh chấp lao động nào không bắt buộc hòa giải.</w:t>
      </w:r>
    </w:p>
    <w:p>
      <w:pPr>
        <w:spacing w:after="140"/>
        <w:ind w:left="216"/>
      </w:pPr>
      <w:r>
        <w:rPr>
          <w:rFonts w:ascii="Arial" w:hAnsi="Arial" w:eastAsia="Arial"/>
          <w:b/>
          <w:color w:val="1F4E79"/>
          <w:sz w:val="26"/>
        </w:rPr>
        <w:t xml:space="preserve">☐  </w:t>
      </w:r>
      <w:r>
        <w:rPr>
          <w:rFonts w:ascii="Arial" w:hAnsi="Arial" w:eastAsia="Arial"/>
          <w:color w:val="222222"/>
          <w:sz w:val="22"/>
        </w:rPr>
        <w:t>Tôi không dùng BLDS 2005, BLHS 1999, Luật HN&amp;GĐ 2000 hoặc cơ chế lao động cũ nếu đề hỏi pháp luật hiện hành.</w:t>
      </w:r>
    </w:p>
    <w:p>
      <w:pPr>
        <w:pStyle w:val="Heading2"/>
      </w:pPr>
      <w:r>
        <w:t>MẪU KHUNG TRẢ LỜI TỰ LUẬN</w:t>
      </w:r>
    </w:p>
    <w:p>
      <w:pPr>
        <w:pStyle w:val="ListNumber"/>
        <w:spacing w:after="60"/>
      </w:pPr>
      <w:r>
        <w:rPr>
          <w:rFonts w:ascii="Arial" w:hAnsi="Arial" w:eastAsia="Arial"/>
          <w:color w:val="222222"/>
          <w:sz w:val="22"/>
        </w:rPr>
        <w:t>Nêu khái niệm chính xác, không vòng vo.</w:t>
      </w:r>
    </w:p>
    <w:p>
      <w:pPr>
        <w:pStyle w:val="ListNumber"/>
        <w:spacing w:after="60"/>
      </w:pPr>
      <w:r>
        <w:rPr>
          <w:rFonts w:ascii="Arial" w:hAnsi="Arial" w:eastAsia="Arial"/>
          <w:color w:val="222222"/>
          <w:sz w:val="22"/>
        </w:rPr>
        <w:t>Liệt kê đặc điểm hoặc nguyên tắc theo từng ý.</w:t>
      </w:r>
    </w:p>
    <w:p>
      <w:pPr>
        <w:pStyle w:val="ListNumber"/>
        <w:spacing w:after="60"/>
      </w:pPr>
      <w:r>
        <w:rPr>
          <w:rFonts w:ascii="Arial" w:hAnsi="Arial" w:eastAsia="Arial"/>
          <w:color w:val="222222"/>
          <w:sz w:val="22"/>
        </w:rPr>
        <w:t>Phân tích ngắn từng ý và gắn một ví dụ.</w:t>
      </w:r>
    </w:p>
    <w:p>
      <w:pPr>
        <w:pStyle w:val="ListNumber"/>
        <w:spacing w:after="60"/>
      </w:pPr>
      <w:r>
        <w:rPr>
          <w:rFonts w:ascii="Arial" w:hAnsi="Arial" w:eastAsia="Arial"/>
          <w:color w:val="222222"/>
          <w:sz w:val="22"/>
        </w:rPr>
        <w:t>Nếu có căn cứ pháp luật, nêu tên văn bản và điều luật khi chắc chắn.</w:t>
      </w:r>
    </w:p>
    <w:p>
      <w:pPr>
        <w:pStyle w:val="ListNumber"/>
        <w:spacing w:after="60"/>
      </w:pPr>
      <w:r>
        <w:rPr>
          <w:rFonts w:ascii="Arial" w:hAnsi="Arial" w:eastAsia="Arial"/>
          <w:color w:val="222222"/>
          <w:sz w:val="22"/>
        </w:rPr>
        <w:t>Kết luận hoặc nêu ý nghĩa thực tiễn.</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Lời nhắc cuối: </w:t>
            </w:r>
            <w:r>
              <w:rPr>
                <w:rFonts w:ascii="Arial" w:hAnsi="Arial" w:eastAsia="Arial"/>
                <w:color w:val="17365D"/>
                <w:sz w:val="21"/>
              </w:rPr>
              <w:t>Một bài có bố cục rõ, thuật ngữ đúng và biết phân nhánh dữ kiện thường an toàn hơn một bài dài nhưng khẳng định sai.</w:t>
            </w:r>
          </w:p>
        </w:tc>
      </w:tr>
    </w:tbl>
    <w:p>
      <w:pPr>
        <w:spacing w:after="0"/>
      </w:pPr>
    </w:p>
    <w:sectPr w:rsidR="00FC693F" w:rsidRPr="0006063C" w:rsidSect="00034616">
      <w:headerReference w:type="default" r:id="rId9"/>
      <w:footerReference w:type="default" r:id="rId10"/>
      <w:pgSz w:w="11909" w:h="16834"/>
      <w:pgMar w:top="1080" w:right="1008" w:bottom="1008"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i/>
        <w:color w:val="666666"/>
        <w:sz w:val="16"/>
      </w:rPr>
      <w:t>Tài liệu ôn tập – cần ưu tiên đề cương và hướng dẫn riêng của giảng viên</w:t>
    </w:r>
    <w:r>
      <w:rPr>
        <w:rFonts w:ascii="Arial" w:hAnsi="Arial" w:eastAsia="Arial"/>
        <w:color w:val="666666"/>
        <w:sz w:val="16"/>
      </w:rPr>
      <w:t xml:space="preserve">  |  Trang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b/>
        <w:color w:val="666666"/>
        <w:sz w:val="16"/>
      </w:rPr>
      <w:t>ĐỀ CƯƠNG PHÁP LUẬT ĐẠI CƯƠNG • BẢN HIỆU ĐÍNH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eastAsia="Arial"/>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eastAsia="Arial"/>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eastAsia="Arial"/>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eyPoint">
    <w:name w:val="Key Point"/>
    <w:pPr>
      <w:spacing w:before="80" w:after="120"/>
      <w:ind w:left="288" w:right="144"/>
    </w:pPr>
    <w:rPr>
      <w:rFonts w:ascii="Arial" w:hAnsi="Arial" w:eastAsia="Arial"/>
      <w:color w:val="17365D"/>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Đáp án 19 câu Pháp luật đại cương và bài tập nâng cao 2026</dc:title>
  <dc:subject>Đáp án chi tiết 19 câu lý thuyết và 36 bài tập có hướng dẫn</dc:subject>
  <dc:creator>Bản hiệu đính phục vụ học tập</dc:creator>
  <cp:keywords>Pháp luật đại cương, đề cương, bài tập, Việt Nam</cp:keywords>
  <dc:description>generated by python-docx</dc:description>
  <cp:lastModifiedBy/>
  <cp:revision>1</cp:revision>
  <dcterms:created xsi:type="dcterms:W3CDTF">2013-12-23T23:15:00Z</dcterms:created>
  <dcterms:modified xsi:type="dcterms:W3CDTF">2013-12-23T23:15:00Z</dcterms:modified>
  <cp:category/>
</cp:coreProperties>
</file>