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after="200"/>
        <w:jc w:val="center"/>
      </w:pPr>
      <w:r>
        <w:rPr>
          <w:rFonts w:ascii="Arial" w:hAnsi="Arial" w:eastAsia="Arial"/>
          <w:b/>
          <w:color w:val="1F4E79"/>
          <w:sz w:val="50"/>
        </w:rPr>
        <w:t>ĐỀ CƯƠNG ÔN THI CUỐI KỲ</w:t>
      </w:r>
    </w:p>
    <w:p>
      <w:pPr>
        <w:jc w:val="center"/>
      </w:pPr>
      <w:r>
        <w:rPr>
          <w:rFonts w:ascii="Arial" w:hAnsi="Arial" w:eastAsia="Arial"/>
          <w:b/>
          <w:color w:val="17365D"/>
          <w:sz w:val="44"/>
        </w:rPr>
        <w:t>PHÁP LUẬT ĐẠI CƯƠNG</w:t>
      </w:r>
    </w:p>
    <w:p>
      <w:pPr>
        <w:spacing w:before="160"/>
        <w:jc w:val="center"/>
      </w:pPr>
      <w:r>
        <w:rPr>
          <w:rFonts w:ascii="Arial" w:hAnsi="Arial" w:eastAsia="Arial"/>
          <w:i/>
          <w:color w:val="666666"/>
          <w:sz w:val="26"/>
        </w:rPr>
        <w:t>Bản hiệu đính, cập nhật và bổ sung bài tập điển hình – 2026</w:t>
      </w:r>
    </w:p>
    <w:p/>
    <w:tbl>
      <w:tblPr>
        <w:tblStyle w:val="TableGrid"/>
        <w:tblW w:type="auto" w:w="0"/>
        <w:jc w:val="center"/>
        <w:tblLayout w:type="fixed"/>
        <w:tblLook w:firstColumn="1" w:firstRow="1" w:lastColumn="0" w:lastRow="0" w:noHBand="0" w:noVBand="1" w:val="04A0"/>
      </w:tblPr>
      <w:tblGrid>
        <w:gridCol w:w="4874"/>
        <w:gridCol w:w="4874"/>
      </w:tblGrid>
      <w:tr>
        <w:tc>
          <w:tcPr>
            <w:tcW w:type="dxa" w:w="1944"/>
            <w:shd w:fill="D9EAF7"/>
            <w:vAlign w:val="center"/>
            <w:tcMar>
              <w:top w:w="100" w:type="dxa"/>
              <w:start w:w="120" w:type="dxa"/>
              <w:bottom w:w="100" w:type="dxa"/>
              <w:end w:w="120" w:type="dxa"/>
            </w:tcMar>
          </w:tcPr>
          <w:p>
            <w:r>
              <w:rPr>
                <w:rFonts w:ascii="Arial" w:hAnsi="Arial" w:eastAsia="Arial"/>
                <w:b/>
                <w:color w:val="17365D"/>
                <w:sz w:val="20"/>
              </w:rPr>
              <w:t>Mục tiêu</w:t>
            </w:r>
          </w:p>
        </w:tc>
        <w:tc>
          <w:tcPr>
            <w:tcW w:type="dxa" w:w="7703"/>
            <w:vAlign w:val="center"/>
            <w:tcMar>
              <w:top w:w="100" w:type="dxa"/>
              <w:start w:w="120" w:type="dxa"/>
              <w:bottom w:w="100" w:type="dxa"/>
              <w:end w:w="120" w:type="dxa"/>
            </w:tcMar>
          </w:tcPr>
          <w:p>
            <w:r>
              <w:rPr>
                <w:rFonts w:ascii="Arial" w:hAnsi="Arial" w:eastAsia="Arial"/>
                <w:color w:val="222222"/>
                <w:sz w:val="20"/>
              </w:rPr>
              <w:t>Ôn tự luận, nhận diện vấn đề và giải bài tập tình huống</w:t>
            </w:r>
          </w:p>
        </w:tc>
      </w:tr>
      <w:tr>
        <w:tc>
          <w:tcPr>
            <w:tcW w:type="dxa" w:w="1944"/>
            <w:shd w:fill="D9EAF7"/>
            <w:vAlign w:val="center"/>
            <w:tcMar>
              <w:top w:w="100" w:type="dxa"/>
              <w:start w:w="120" w:type="dxa"/>
              <w:bottom w:w="100" w:type="dxa"/>
              <w:end w:w="120" w:type="dxa"/>
            </w:tcMar>
          </w:tcPr>
          <w:p>
            <w:r>
              <w:rPr>
                <w:rFonts w:ascii="Arial" w:hAnsi="Arial" w:eastAsia="Arial"/>
                <w:b/>
                <w:color w:val="17365D"/>
                <w:sz w:val="20"/>
              </w:rPr>
              <w:t>Cấu trúc</w:t>
            </w:r>
          </w:p>
        </w:tc>
        <w:tc>
          <w:tcPr>
            <w:tcW w:type="dxa" w:w="7703"/>
            <w:vAlign w:val="center"/>
            <w:tcMar>
              <w:top w:w="100" w:type="dxa"/>
              <w:start w:w="120" w:type="dxa"/>
              <w:bottom w:w="100" w:type="dxa"/>
              <w:end w:w="120" w:type="dxa"/>
            </w:tcMar>
          </w:tcPr>
          <w:p>
            <w:r>
              <w:rPr>
                <w:rFonts w:ascii="Arial" w:hAnsi="Arial" w:eastAsia="Arial"/>
                <w:color w:val="222222"/>
                <w:sz w:val="20"/>
              </w:rPr>
              <w:t>19 câu lý thuyết + bảng ghi nhớ + 15 bài tập có hướng dẫn</w:t>
            </w:r>
          </w:p>
        </w:tc>
      </w:tr>
      <w:tr>
        <w:tc>
          <w:tcPr>
            <w:tcW w:type="dxa" w:w="1944"/>
            <w:shd w:fill="D9EAF7"/>
            <w:vAlign w:val="center"/>
            <w:tcMar>
              <w:top w:w="100" w:type="dxa"/>
              <w:start w:w="120" w:type="dxa"/>
              <w:bottom w:w="100" w:type="dxa"/>
              <w:end w:w="120" w:type="dxa"/>
            </w:tcMar>
          </w:tcPr>
          <w:p>
            <w:r>
              <w:rPr>
                <w:rFonts w:ascii="Arial" w:hAnsi="Arial" w:eastAsia="Arial"/>
                <w:b/>
                <w:color w:val="17365D"/>
                <w:sz w:val="20"/>
              </w:rPr>
              <w:t>Căn cứ chính</w:t>
            </w:r>
          </w:p>
        </w:tc>
        <w:tc>
          <w:tcPr>
            <w:tcW w:type="dxa" w:w="7703"/>
            <w:vAlign w:val="center"/>
            <w:tcMar>
              <w:top w:w="100" w:type="dxa"/>
              <w:start w:w="120" w:type="dxa"/>
              <w:bottom w:w="100" w:type="dxa"/>
              <w:end w:w="120" w:type="dxa"/>
            </w:tcMar>
          </w:tcPr>
          <w:p>
            <w:r>
              <w:rPr>
                <w:rFonts w:ascii="Arial" w:hAnsi="Arial" w:eastAsia="Arial"/>
                <w:color w:val="222222"/>
                <w:sz w:val="20"/>
              </w:rPr>
              <w:t>Các văn bản pháp luật hiện hành được liệt kê trong tài liệu</w:t>
            </w:r>
          </w:p>
        </w:tc>
      </w:tr>
      <w:tr>
        <w:tc>
          <w:tcPr>
            <w:tcW w:type="dxa" w:w="1944"/>
            <w:shd w:fill="D9EAF7"/>
            <w:vAlign w:val="center"/>
            <w:tcMar>
              <w:top w:w="100" w:type="dxa"/>
              <w:start w:w="120" w:type="dxa"/>
              <w:bottom w:w="100" w:type="dxa"/>
              <w:end w:w="120" w:type="dxa"/>
            </w:tcMar>
          </w:tcPr>
          <w:p>
            <w:r>
              <w:rPr>
                <w:rFonts w:ascii="Arial" w:hAnsi="Arial" w:eastAsia="Arial"/>
                <w:b/>
                <w:color w:val="17365D"/>
                <w:sz w:val="20"/>
              </w:rPr>
              <w:t>Lưu ý</w:t>
            </w:r>
          </w:p>
        </w:tc>
        <w:tc>
          <w:tcPr>
            <w:tcW w:type="dxa" w:w="7703"/>
            <w:vAlign w:val="center"/>
            <w:tcMar>
              <w:top w:w="100" w:type="dxa"/>
              <w:start w:w="120" w:type="dxa"/>
              <w:bottom w:w="100" w:type="dxa"/>
              <w:end w:w="120" w:type="dxa"/>
            </w:tcMar>
          </w:tcPr>
          <w:p>
            <w:r>
              <w:rPr>
                <w:rFonts w:ascii="Arial" w:hAnsi="Arial" w:eastAsia="Arial"/>
                <w:color w:val="222222"/>
                <w:sz w:val="20"/>
              </w:rPr>
              <w:t>Đây là tài liệu học tập, không thay thế tư vấn pháp lý cho vụ việc thực tế</w:t>
            </w:r>
          </w:p>
        </w:tc>
      </w:tr>
    </w:tbl>
    <w:p>
      <w:pPr>
        <w:spacing w:before="360"/>
        <w:jc w:val="center"/>
      </w:pPr>
      <w:r>
        <w:rPr>
          <w:rFonts w:ascii="Arial" w:hAnsi="Arial" w:eastAsia="Arial"/>
          <w:i/>
          <w:color w:val="666666"/>
          <w:sz w:val="18"/>
        </w:rPr>
        <w:t>Biên soạn lại từ file tổng hợp của người học; đã loại bỏ hoặc đánh dấu các căn cứ hết hiệu lực.</w:t>
      </w:r>
      <w:r>
        <w:br w:type="page"/>
      </w:r>
    </w:p>
    <w:p>
      <w:pPr>
        <w:pStyle w:val="Heading1"/>
      </w:pPr>
      <w:r>
        <w:t>HƯỚNG DẪN SỬ DỤNG</w:t>
      </w:r>
    </w:p>
    <w:p>
      <w:pPr>
        <w:pStyle w:val="ListBullet"/>
        <w:spacing w:after="60"/>
      </w:pPr>
      <w:r>
        <w:rPr>
          <w:rFonts w:ascii="Arial" w:hAnsi="Arial" w:eastAsia="Arial"/>
          <w:color w:val="222222"/>
          <w:sz w:val="22"/>
        </w:rPr>
        <w:t>Học theo cấu trúc: khái niệm → đặc điểm/nguyên tắc → phân loại/nội dung → ví dụ → kết luận.</w:t>
      </w:r>
    </w:p>
    <w:p>
      <w:pPr>
        <w:pStyle w:val="ListBullet"/>
        <w:spacing w:after="60"/>
      </w:pPr>
      <w:r>
        <w:rPr>
          <w:rFonts w:ascii="Arial" w:hAnsi="Arial" w:eastAsia="Arial"/>
          <w:color w:val="222222"/>
          <w:sz w:val="22"/>
        </w:rPr>
        <w:t>Khi làm bài tình huống, không suy đoán dữ kiện. Nêu giả định nếu đề bài chưa cho đủ thông tin.</w:t>
      </w:r>
    </w:p>
    <w:p>
      <w:pPr>
        <w:pStyle w:val="ListBullet"/>
        <w:spacing w:after="60"/>
      </w:pPr>
      <w:r>
        <w:rPr>
          <w:rFonts w:ascii="Arial" w:hAnsi="Arial" w:eastAsia="Arial"/>
          <w:color w:val="222222"/>
          <w:sz w:val="22"/>
        </w:rPr>
        <w:t>Nếu đề thi yêu cầu theo giáo trình của trường, ưu tiên thuật ngữ và phạm vi do giảng viên đã dạy.</w:t>
      </w:r>
    </w:p>
    <w:p>
      <w:pPr>
        <w:pStyle w:val="ListBullet"/>
        <w:spacing w:after="60"/>
      </w:pPr>
      <w:r>
        <w:rPr>
          <w:rFonts w:ascii="Arial" w:hAnsi="Arial" w:eastAsia="Arial"/>
          <w:color w:val="222222"/>
          <w:sz w:val="22"/>
        </w:rPr>
        <w:t>Không học thuộc các điều luật đã hết hiệu lực trong bản tổng hợp cũ.</w:t>
      </w:r>
    </w:p>
    <w:p>
      <w:pPr>
        <w:pStyle w:val="Heading1"/>
      </w:pPr>
      <w:r>
        <w:t>NHỮNG ĐIỂM ĐÃ HIỆU ĐÍNH SO VỚI FILE CŨ</w:t>
      </w:r>
    </w:p>
    <w:tbl>
      <w:tblPr>
        <w:tblStyle w:val="TableGrid"/>
        <w:tblW w:type="auto" w:w="0"/>
        <w:jc w:val="center"/>
        <w:tblLayout w:type="fixed"/>
        <w:tblLook w:firstColumn="1" w:firstRow="1" w:lastColumn="0" w:lastRow="0" w:noHBand="0" w:noVBand="1" w:val="04A0"/>
      </w:tblPr>
      <w:tblGrid>
        <w:gridCol w:w="4874"/>
        <w:gridCol w:w="4874"/>
      </w:tblGrid>
      <w:tr>
        <w:trPr>
          <w:tblHeader w:val="true"/>
        </w:trPr>
        <w:tc>
          <w:tcPr>
            <w:tcW w:type="dxa" w:w="2951"/>
            <w:shd w:fill="1F4E79"/>
            <w:tcMar>
              <w:top w:w="100" w:type="dxa"/>
              <w:start w:w="120" w:type="dxa"/>
              <w:bottom w:w="100" w:type="dxa"/>
              <w:end w:w="120" w:type="dxa"/>
            </w:tcMar>
          </w:tcPr>
          <w:p>
            <w:r>
              <w:rPr>
                <w:rFonts w:ascii="Arial" w:hAnsi="Arial" w:eastAsia="Arial"/>
                <w:b/>
                <w:color w:val="FFFFFF"/>
                <w:sz w:val="20"/>
              </w:rPr>
              <w:t>Nội dung cũ</w:t>
            </w:r>
          </w:p>
        </w:tc>
        <w:tc>
          <w:tcPr>
            <w:tcW w:type="dxa" w:w="6696"/>
            <w:shd w:fill="1F4E79"/>
            <w:tcMar>
              <w:top w:w="100" w:type="dxa"/>
              <w:start w:w="120" w:type="dxa"/>
              <w:bottom w:w="100" w:type="dxa"/>
              <w:end w:w="120" w:type="dxa"/>
            </w:tcMar>
          </w:tcPr>
          <w:p>
            <w:r>
              <w:rPr>
                <w:rFonts w:ascii="Arial" w:hAnsi="Arial" w:eastAsia="Arial"/>
                <w:b/>
                <w:color w:val="FFFFFF"/>
                <w:sz w:val="20"/>
              </w:rPr>
              <w:t>Hướng sử dụng hiện nay</w:t>
            </w:r>
          </w:p>
        </w:tc>
      </w:tr>
      <w:tr>
        <w:tc>
          <w:tcPr>
            <w:tcW w:type="dxa" w:w="2951"/>
            <w:tcMar>
              <w:top w:w="100" w:type="dxa"/>
              <w:start w:w="120" w:type="dxa"/>
              <w:bottom w:w="100" w:type="dxa"/>
              <w:end w:w="120" w:type="dxa"/>
            </w:tcMar>
          </w:tcPr>
          <w:p>
            <w:r>
              <w:rPr>
                <w:rFonts w:ascii="Arial" w:hAnsi="Arial" w:eastAsia="Arial"/>
                <w:color w:val="222222"/>
                <w:sz w:val="20"/>
              </w:rPr>
              <w:t>BLDS 2005</w:t>
            </w:r>
          </w:p>
        </w:tc>
        <w:tc>
          <w:tcPr>
            <w:tcW w:type="dxa" w:w="6696"/>
            <w:tcMar>
              <w:top w:w="100" w:type="dxa"/>
              <w:start w:w="120" w:type="dxa"/>
              <w:bottom w:w="100" w:type="dxa"/>
              <w:end w:w="120" w:type="dxa"/>
            </w:tcMar>
          </w:tcPr>
          <w:p>
            <w:r>
              <w:rPr>
                <w:rFonts w:ascii="Arial" w:hAnsi="Arial" w:eastAsia="Arial"/>
                <w:color w:val="222222"/>
                <w:sz w:val="20"/>
              </w:rPr>
              <w:t>Dùng Bộ luật Dân sự 2015.</w:t>
            </w:r>
          </w:p>
        </w:tc>
      </w:tr>
      <w:tr>
        <w:tc>
          <w:tcPr>
            <w:tcW w:type="dxa" w:w="2951"/>
            <w:tcMar>
              <w:top w:w="100" w:type="dxa"/>
              <w:start w:w="120" w:type="dxa"/>
              <w:bottom w:w="100" w:type="dxa"/>
              <w:end w:w="120" w:type="dxa"/>
            </w:tcMar>
          </w:tcPr>
          <w:p>
            <w:r>
              <w:rPr>
                <w:rFonts w:ascii="Arial" w:hAnsi="Arial" w:eastAsia="Arial"/>
                <w:color w:val="222222"/>
                <w:sz w:val="20"/>
              </w:rPr>
              <w:t>BLHS 1999</w:t>
            </w:r>
          </w:p>
        </w:tc>
        <w:tc>
          <w:tcPr>
            <w:tcW w:type="dxa" w:w="6696"/>
            <w:tcMar>
              <w:top w:w="100" w:type="dxa"/>
              <w:start w:w="120" w:type="dxa"/>
              <w:bottom w:w="100" w:type="dxa"/>
              <w:end w:w="120" w:type="dxa"/>
            </w:tcMar>
          </w:tcPr>
          <w:p>
            <w:r>
              <w:rPr>
                <w:rFonts w:ascii="Arial" w:hAnsi="Arial" w:eastAsia="Arial"/>
                <w:color w:val="222222"/>
                <w:sz w:val="20"/>
              </w:rPr>
              <w:t>Dùng BLHS 2015, sửa đổi 2017 và các sửa đổi có hiệu lực hiện hành.</w:t>
            </w:r>
          </w:p>
        </w:tc>
      </w:tr>
      <w:tr>
        <w:tc>
          <w:tcPr>
            <w:tcW w:type="dxa" w:w="2951"/>
            <w:tcMar>
              <w:top w:w="100" w:type="dxa"/>
              <w:start w:w="120" w:type="dxa"/>
              <w:bottom w:w="100" w:type="dxa"/>
              <w:end w:w="120" w:type="dxa"/>
            </w:tcMar>
          </w:tcPr>
          <w:p>
            <w:r>
              <w:rPr>
                <w:rFonts w:ascii="Arial" w:hAnsi="Arial" w:eastAsia="Arial"/>
                <w:color w:val="222222"/>
                <w:sz w:val="20"/>
              </w:rPr>
              <w:t>Luật HN&amp;GĐ 2000</w:t>
            </w:r>
          </w:p>
        </w:tc>
        <w:tc>
          <w:tcPr>
            <w:tcW w:type="dxa" w:w="6696"/>
            <w:tcMar>
              <w:top w:w="100" w:type="dxa"/>
              <w:start w:w="120" w:type="dxa"/>
              <w:bottom w:w="100" w:type="dxa"/>
              <w:end w:w="120" w:type="dxa"/>
            </w:tcMar>
          </w:tcPr>
          <w:p>
            <w:r>
              <w:rPr>
                <w:rFonts w:ascii="Arial" w:hAnsi="Arial" w:eastAsia="Arial"/>
                <w:color w:val="222222"/>
                <w:sz w:val="20"/>
              </w:rPr>
              <w:t>Dùng Luật Hôn nhân và gia đình 2014.</w:t>
            </w:r>
          </w:p>
        </w:tc>
      </w:tr>
      <w:tr>
        <w:tc>
          <w:tcPr>
            <w:tcW w:type="dxa" w:w="2951"/>
            <w:tcMar>
              <w:top w:w="100" w:type="dxa"/>
              <w:start w:w="120" w:type="dxa"/>
              <w:bottom w:w="100" w:type="dxa"/>
              <w:end w:w="120" w:type="dxa"/>
            </w:tcMar>
          </w:tcPr>
          <w:p>
            <w:r>
              <w:rPr>
                <w:rFonts w:ascii="Arial" w:hAnsi="Arial" w:eastAsia="Arial"/>
                <w:color w:val="222222"/>
                <w:sz w:val="20"/>
              </w:rPr>
              <w:t>Luật Khiếu nại, tố cáo cũ</w:t>
            </w:r>
          </w:p>
        </w:tc>
        <w:tc>
          <w:tcPr>
            <w:tcW w:type="dxa" w:w="6696"/>
            <w:tcMar>
              <w:top w:w="100" w:type="dxa"/>
              <w:start w:w="120" w:type="dxa"/>
              <w:bottom w:w="100" w:type="dxa"/>
              <w:end w:w="120" w:type="dxa"/>
            </w:tcMar>
          </w:tcPr>
          <w:p>
            <w:r>
              <w:rPr>
                <w:rFonts w:ascii="Arial" w:hAnsi="Arial" w:eastAsia="Arial"/>
                <w:color w:val="222222"/>
                <w:sz w:val="20"/>
              </w:rPr>
              <w:t>Dùng Luật Tố cáo 2018 cho nội dung tố cáo.</w:t>
            </w:r>
          </w:p>
        </w:tc>
      </w:tr>
      <w:tr>
        <w:tc>
          <w:tcPr>
            <w:tcW w:type="dxa" w:w="2951"/>
            <w:tcMar>
              <w:top w:w="100" w:type="dxa"/>
              <w:start w:w="120" w:type="dxa"/>
              <w:bottom w:w="100" w:type="dxa"/>
              <w:end w:w="120" w:type="dxa"/>
            </w:tcMar>
          </w:tcPr>
          <w:p>
            <w:r>
              <w:rPr>
                <w:rFonts w:ascii="Arial" w:hAnsi="Arial" w:eastAsia="Arial"/>
                <w:color w:val="222222"/>
                <w:sz w:val="20"/>
              </w:rPr>
              <w:t>Tranh chấp lao động</w:t>
            </w:r>
          </w:p>
        </w:tc>
        <w:tc>
          <w:tcPr>
            <w:tcW w:type="dxa" w:w="6696"/>
            <w:tcMar>
              <w:top w:w="100" w:type="dxa"/>
              <w:start w:w="120" w:type="dxa"/>
              <w:bottom w:w="100" w:type="dxa"/>
              <w:end w:w="120" w:type="dxa"/>
            </w:tcMar>
          </w:tcPr>
          <w:p>
            <w:r>
              <w:rPr>
                <w:rFonts w:ascii="Arial" w:hAnsi="Arial" w:eastAsia="Arial"/>
                <w:color w:val="222222"/>
                <w:sz w:val="20"/>
              </w:rPr>
              <w:t>Dùng Bộ luật Lao động 2019; bỏ mô hình Hội đồng hòa giải cơ sở cũ.</w:t>
            </w:r>
          </w:p>
        </w:tc>
      </w:tr>
      <w:tr>
        <w:tc>
          <w:tcPr>
            <w:tcW w:type="dxa" w:w="2951"/>
            <w:tcMar>
              <w:top w:w="100" w:type="dxa"/>
              <w:start w:w="120" w:type="dxa"/>
              <w:bottom w:w="100" w:type="dxa"/>
              <w:end w:w="120" w:type="dxa"/>
            </w:tcMar>
          </w:tcPr>
          <w:p>
            <w:r>
              <w:rPr>
                <w:rFonts w:ascii="Arial" w:hAnsi="Arial" w:eastAsia="Arial"/>
                <w:color w:val="222222"/>
                <w:sz w:val="20"/>
              </w:rPr>
              <w:t>Hiến pháp 2013</w:t>
            </w:r>
          </w:p>
        </w:tc>
        <w:tc>
          <w:tcPr>
            <w:tcW w:type="dxa" w:w="6696"/>
            <w:tcMar>
              <w:top w:w="100" w:type="dxa"/>
              <w:start w:w="120" w:type="dxa"/>
              <w:bottom w:w="100" w:type="dxa"/>
              <w:end w:w="120" w:type="dxa"/>
            </w:tcMar>
          </w:tcPr>
          <w:p>
            <w:r>
              <w:rPr>
                <w:rFonts w:ascii="Arial" w:hAnsi="Arial" w:eastAsia="Arial"/>
                <w:color w:val="222222"/>
                <w:sz w:val="20"/>
              </w:rPr>
              <w:t>Đọc cùng nội dung sửa đổi, bổ sung năm 2025 về Mặt trận Tổ quốc và chính quyền địa phương.</w:t>
            </w:r>
          </w:p>
        </w:tc>
      </w:tr>
      <w:tr>
        <w:tc>
          <w:tcPr>
            <w:tcW w:type="dxa" w:w="2951"/>
            <w:tcMar>
              <w:top w:w="100" w:type="dxa"/>
              <w:start w:w="120" w:type="dxa"/>
              <w:bottom w:w="100" w:type="dxa"/>
              <w:end w:w="120" w:type="dxa"/>
            </w:tcMar>
          </w:tcPr>
          <w:p>
            <w:r>
              <w:rPr>
                <w:rFonts w:ascii="Arial" w:hAnsi="Arial" w:eastAsia="Arial"/>
                <w:color w:val="222222"/>
                <w:sz w:val="20"/>
              </w:rPr>
              <w:t>Thiếu Câu 13</w:t>
            </w:r>
          </w:p>
        </w:tc>
        <w:tc>
          <w:tcPr>
            <w:tcW w:type="dxa" w:w="6696"/>
            <w:tcMar>
              <w:top w:w="100" w:type="dxa"/>
              <w:start w:w="120" w:type="dxa"/>
              <w:bottom w:w="100" w:type="dxa"/>
              <w:end w:w="120" w:type="dxa"/>
            </w:tcMar>
          </w:tcPr>
          <w:p>
            <w:r>
              <w:rPr>
                <w:rFonts w:ascii="Arial" w:hAnsi="Arial" w:eastAsia="Arial"/>
                <w:color w:val="222222"/>
                <w:sz w:val="20"/>
              </w:rPr>
              <w:t>Bổ sung chuyên đề hợp đồng lao động.</w:t>
            </w:r>
          </w:p>
        </w:tc>
      </w:tr>
      <w:tr>
        <w:tc>
          <w:tcPr>
            <w:tcW w:type="dxa" w:w="2951"/>
            <w:tcMar>
              <w:top w:w="100" w:type="dxa"/>
              <w:start w:w="120" w:type="dxa"/>
              <w:bottom w:w="100" w:type="dxa"/>
              <w:end w:w="120" w:type="dxa"/>
            </w:tcMar>
          </w:tcPr>
          <w:p>
            <w:r>
              <w:rPr>
                <w:rFonts w:ascii="Arial" w:hAnsi="Arial" w:eastAsia="Arial"/>
                <w:color w:val="222222"/>
                <w:sz w:val="20"/>
              </w:rPr>
              <w:t>Bài tập hình sự</w:t>
            </w:r>
          </w:p>
        </w:tc>
        <w:tc>
          <w:tcPr>
            <w:tcW w:type="dxa" w:w="6696"/>
            <w:tcMar>
              <w:top w:w="100" w:type="dxa"/>
              <w:start w:w="120" w:type="dxa"/>
              <w:bottom w:w="100" w:type="dxa"/>
              <w:end w:w="120" w:type="dxa"/>
            </w:tcMar>
          </w:tcPr>
          <w:p>
            <w:r>
              <w:rPr>
                <w:rFonts w:ascii="Arial" w:hAnsi="Arial" w:eastAsia="Arial"/>
                <w:color w:val="222222"/>
                <w:sz w:val="20"/>
              </w:rPr>
              <w:t>Sửa lỗi nhầm giữa cướp, cướp giật, công nhiên chiếm đoạt, trộm cắp, lừa đảo và lạm dụng tín nhiệm.</w:t>
            </w:r>
          </w:p>
        </w:tc>
      </w:tr>
    </w:tbl>
    <w:p>
      <w:pPr>
        <w:pStyle w:val="Heading1"/>
      </w:pPr>
      <w:r>
        <w:t>DANH MỤC VĂN BẢN NỀN TẢNG</w:t>
      </w:r>
    </w:p>
    <w:p>
      <w:pPr>
        <w:pStyle w:val="ListBullet"/>
        <w:spacing w:after="60"/>
      </w:pPr>
      <w:r>
        <w:rPr>
          <w:rFonts w:ascii="Arial" w:hAnsi="Arial" w:eastAsia="Arial"/>
          <w:color w:val="222222"/>
          <w:sz w:val="22"/>
        </w:rPr>
        <w:t>Hiến pháp năm 2013 và Nghị quyết sửa đổi, bổ sung một số điều của Hiến pháp năm 2025.</w:t>
      </w:r>
    </w:p>
    <w:p>
      <w:pPr>
        <w:pStyle w:val="ListBullet"/>
        <w:spacing w:after="60"/>
      </w:pPr>
      <w:r>
        <w:rPr>
          <w:rFonts w:ascii="Arial" w:hAnsi="Arial" w:eastAsia="Arial"/>
          <w:color w:val="222222"/>
          <w:sz w:val="22"/>
        </w:rPr>
        <w:t>Luật Ban hành văn bản quy phạm pháp luật năm 2025 và văn bản sửa đổi, bổ sung có liên quan.</w:t>
      </w:r>
    </w:p>
    <w:p>
      <w:pPr>
        <w:pStyle w:val="ListBullet"/>
        <w:spacing w:after="60"/>
      </w:pPr>
      <w:r>
        <w:rPr>
          <w:rFonts w:ascii="Arial" w:hAnsi="Arial" w:eastAsia="Arial"/>
          <w:color w:val="222222"/>
          <w:sz w:val="22"/>
        </w:rPr>
        <w:t>Bộ luật Dân sự năm 2015.</w:t>
      </w:r>
    </w:p>
    <w:p>
      <w:pPr>
        <w:pStyle w:val="ListBullet"/>
        <w:spacing w:after="60"/>
      </w:pPr>
      <w:r>
        <w:rPr>
          <w:rFonts w:ascii="Arial" w:hAnsi="Arial" w:eastAsia="Arial"/>
          <w:color w:val="222222"/>
          <w:sz w:val="22"/>
        </w:rPr>
        <w:t>Bộ luật Hình sự năm 2015, Luật sửa đổi năm 2017 và các sửa đổi hiện hành.</w:t>
      </w:r>
    </w:p>
    <w:p>
      <w:pPr>
        <w:pStyle w:val="ListBullet"/>
        <w:spacing w:after="60"/>
      </w:pPr>
      <w:r>
        <w:rPr>
          <w:rFonts w:ascii="Arial" w:hAnsi="Arial" w:eastAsia="Arial"/>
          <w:color w:val="222222"/>
          <w:sz w:val="22"/>
        </w:rPr>
        <w:t>Bộ luật Lao động năm 2019.</w:t>
      </w:r>
    </w:p>
    <w:p>
      <w:pPr>
        <w:pStyle w:val="ListBullet"/>
        <w:spacing w:after="60"/>
      </w:pPr>
      <w:r>
        <w:rPr>
          <w:rFonts w:ascii="Arial" w:hAnsi="Arial" w:eastAsia="Arial"/>
          <w:color w:val="222222"/>
          <w:sz w:val="22"/>
        </w:rPr>
        <w:t>Luật Hôn nhân và gia đình năm 2014.</w:t>
      </w:r>
    </w:p>
    <w:p>
      <w:pPr>
        <w:pStyle w:val="ListBullet"/>
        <w:spacing w:after="60"/>
      </w:pPr>
      <w:r>
        <w:rPr>
          <w:rFonts w:ascii="Arial" w:hAnsi="Arial" w:eastAsia="Arial"/>
          <w:color w:val="222222"/>
          <w:sz w:val="22"/>
        </w:rPr>
        <w:t>Luật Tố cáo năm 2018; Luật Khiếu nại năm 2011.</w:t>
      </w:r>
    </w:p>
    <w:p>
      <w:pPr>
        <w:pStyle w:val="ListBullet"/>
        <w:spacing w:after="60"/>
      </w:pPr>
      <w:r>
        <w:rPr>
          <w:rFonts w:ascii="Arial" w:hAnsi="Arial" w:eastAsia="Arial"/>
          <w:color w:val="222222"/>
          <w:sz w:val="22"/>
        </w:rPr>
        <w:t>Luật Xử lý vi phạm hành chính năm 2012 và các luật sửa đổi, bổ sung hiện hành.</w:t>
      </w:r>
    </w:p>
    <w:p>
      <w:r>
        <w:rPr>
          <w:rFonts w:ascii="Arial" w:hAnsi="Arial" w:eastAsia="Arial"/>
          <w:color w:val="222222"/>
          <w:sz w:val="20"/>
        </w:rPr>
        <w:t xml:space="preserve">Tra cứu bản chính thức tại: </w:t>
      </w:r>
      <w:r>
        <w:rPr>
          <w:rFonts w:ascii="Arial" w:hAnsi="Arial" w:eastAsia="Arial"/>
          <w:color w:val="1F4E79"/>
          <w:sz w:val="20"/>
        </w:rPr>
        <w:t>https://vanban.chinhphu.vn/  |  https://vbpl.vn/</w:t>
      </w:r>
      <w:r>
        <w:br w:type="page"/>
      </w:r>
    </w:p>
    <w:p>
      <w:pPr>
        <w:pStyle w:val="Heading1"/>
      </w:pPr>
      <w:r>
        <w:t>PHẦN I. ĐỀ CƯƠNG LÝ THUYẾT ĐÃ HIỆU ĐÍNH</w:t>
      </w:r>
    </w:p>
    <w:p>
      <w:pPr>
        <w:pStyle w:val="Heading2"/>
      </w:pPr>
      <w:r>
        <w:t>Câu 1. Khái niệm và bản chất của Nhà nước; ý nghĩa phương pháp luận</w:t>
      </w:r>
    </w:p>
    <w:p>
      <w:pPr>
        <w:pStyle w:val="Heading3"/>
      </w:pPr>
      <w:r>
        <w:t>Khái niệm</w:t>
      </w:r>
    </w:p>
    <w:p>
      <w:pPr>
        <w:jc w:val="both"/>
      </w:pPr>
      <w:r>
        <w:rPr>
          <w:rFonts w:ascii="Arial" w:hAnsi="Arial" w:eastAsia="Arial"/>
          <w:color w:val="222222"/>
          <w:sz w:val="22"/>
        </w:rPr>
        <w:t>Nhà nước là tổ chức đặc biệt của quyền lực chính trị, có bộ máy chuyên làm nhiệm vụ quản lý và cưỡng chế, quản lý dân cư theo lãnh thổ, ban hành pháp luật và thu thuế nhằm duy trì trật tự, tổ chức đời sống chung của xã hội.</w:t>
      </w:r>
    </w:p>
    <w:p>
      <w:pPr>
        <w:pStyle w:val="Heading3"/>
      </w:pPr>
      <w:r>
        <w:t>Bản chất</w:t>
      </w:r>
    </w:p>
    <w:p>
      <w:pPr>
        <w:pStyle w:val="ListBullet"/>
        <w:spacing w:after="60"/>
      </w:pPr>
      <w:r>
        <w:rPr>
          <w:rFonts w:ascii="Arial" w:hAnsi="Arial" w:eastAsia="Arial"/>
          <w:color w:val="222222"/>
          <w:sz w:val="22"/>
        </w:rPr>
        <w:t>Tính giai cấp: trong xã hội có giai cấp, nhà nước trước hết là công cụ quyền lực của lực lượng giữ địa vị thống trị về kinh tế và chính trị; tính giai cấp thể hiện qua quyền lực kinh tế, chính trị và tư tưởng.</w:t>
      </w:r>
    </w:p>
    <w:p>
      <w:pPr>
        <w:pStyle w:val="ListBullet"/>
        <w:spacing w:after="60"/>
      </w:pPr>
      <w:r>
        <w:rPr>
          <w:rFonts w:ascii="Arial" w:hAnsi="Arial" w:eastAsia="Arial"/>
          <w:color w:val="222222"/>
          <w:sz w:val="22"/>
        </w:rPr>
        <w:t>Tính xã hội: nhà nước phải giải quyết những công việc chung như bảo đảm an ninh, trật tự, hạ tầng, giáo dục, y tế, bảo vệ môi trường và điều hòa lợi ích xã hội.</w:t>
      </w:r>
    </w:p>
    <w:p>
      <w:pPr>
        <w:pStyle w:val="ListBullet"/>
        <w:spacing w:after="60"/>
      </w:pPr>
      <w:r>
        <w:rPr>
          <w:rFonts w:ascii="Arial" w:hAnsi="Arial" w:eastAsia="Arial"/>
          <w:color w:val="222222"/>
          <w:sz w:val="22"/>
        </w:rPr>
        <w:t>Hai phương diện có quan hệ thống nhất. Không được viết rằng nhà nước chỉ có tính giai cấp hoặc chỉ phục vụ lợi ích chung một cách phi giai cấp.</w:t>
      </w:r>
    </w:p>
    <w:p>
      <w:pPr>
        <w:pStyle w:val="Heading3"/>
      </w:pPr>
      <w:r>
        <w:t>Ý nghĩa phương pháp luận</w:t>
      </w:r>
    </w:p>
    <w:p>
      <w:pPr>
        <w:jc w:val="both"/>
      </w:pPr>
      <w:r>
        <w:rPr>
          <w:rFonts w:ascii="Arial" w:hAnsi="Arial" w:eastAsia="Arial"/>
          <w:color w:val="222222"/>
          <w:sz w:val="22"/>
        </w:rPr>
        <w:t>Khi phân tích một nhà nước cụ thể phải đặt trong điều kiện kinh tế – xã hội, tương quan giai cấp, tổ chức quyền lực và chức năng thực tế; đồng thời xem xét cả tính giai cấp và vai trò xã hội.</w:t>
      </w:r>
    </w:p>
    <w:tbl>
      <w:tblPr>
        <w:tblStyle w:val="TableGrid"/>
        <w:tblW w:type="auto" w:w="0"/>
        <w:jc w:val="center"/>
        <w:tblLayout w:type="fixed"/>
        <w:tblLook w:firstColumn="1" w:firstRow="1" w:lastColumn="0" w:lastRow="0" w:noHBand="0" w:noVBand="1" w:val="04A0"/>
      </w:tblPr>
      <w:tblGrid>
        <w:gridCol w:w="9749"/>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quyền lực công cộng đặc biệt; quản lý dân cư; chủ quyền; pháp luật; thuế; tính giai cấp; tính xã hội</w:t>
            </w:r>
          </w:p>
        </w:tc>
      </w:tr>
    </w:tbl>
    <w:p>
      <w:pPr>
        <w:spacing w:after="0"/>
      </w:pPr>
    </w:p>
    <w:p>
      <w:pPr>
        <w:pStyle w:val="Heading2"/>
      </w:pPr>
      <w:r>
        <w:t>Câu 2. Văn bản quy phạm pháp luật và nguyên tắc xây dựng, ban hành</w:t>
      </w:r>
    </w:p>
    <w:p>
      <w:pPr>
        <w:pStyle w:val="Heading3"/>
      </w:pPr>
      <w:r>
        <w:t>Khái niệm</w:t>
      </w:r>
    </w:p>
    <w:p>
      <w:pPr>
        <w:jc w:val="both"/>
      </w:pPr>
      <w:r>
        <w:rPr>
          <w:rFonts w:ascii="Arial" w:hAnsi="Arial" w:eastAsia="Arial"/>
          <w:color w:val="222222"/>
          <w:sz w:val="22"/>
        </w:rPr>
        <w:t>Văn bản quy phạm pháp luật là văn bản có chứa quy phạm pháp luật, được ban hành đúng thẩm quyền, hình thức, trình tự và thủ tục theo luật. Nếu ban hành không đúng thẩm quyền, hình thức hoặc thủ tục luật định thì không được coi là văn bản quy phạm pháp luật.</w:t>
      </w:r>
    </w:p>
    <w:p>
      <w:pPr>
        <w:pStyle w:val="Heading3"/>
      </w:pPr>
      <w:r>
        <w:t>Đặc điểm</w:t>
      </w:r>
    </w:p>
    <w:p>
      <w:pPr>
        <w:pStyle w:val="ListBullet"/>
        <w:spacing w:after="60"/>
      </w:pPr>
      <w:r>
        <w:rPr>
          <w:rFonts w:ascii="Arial" w:hAnsi="Arial" w:eastAsia="Arial"/>
          <w:color w:val="222222"/>
          <w:sz w:val="22"/>
        </w:rPr>
        <w:t>Chứa quy tắc xử sự chung, áp dụng nhiều lần đối với nhiều chủ thể.</w:t>
      </w:r>
    </w:p>
    <w:p>
      <w:pPr>
        <w:pStyle w:val="ListBullet"/>
        <w:spacing w:after="60"/>
      </w:pPr>
      <w:r>
        <w:rPr>
          <w:rFonts w:ascii="Arial" w:hAnsi="Arial" w:eastAsia="Arial"/>
          <w:color w:val="222222"/>
          <w:sz w:val="22"/>
        </w:rPr>
        <w:t>Do chủ thể có thẩm quyền ban hành và có tên loại văn bản do pháp luật quy định.</w:t>
      </w:r>
    </w:p>
    <w:p>
      <w:pPr>
        <w:pStyle w:val="ListBullet"/>
        <w:spacing w:after="60"/>
      </w:pPr>
      <w:r>
        <w:rPr>
          <w:rFonts w:ascii="Arial" w:hAnsi="Arial" w:eastAsia="Arial"/>
          <w:color w:val="222222"/>
          <w:sz w:val="22"/>
        </w:rPr>
        <w:t>Có hiệu lực bắt buộc và được Nhà nước bảo đảm thực hiện.</w:t>
      </w:r>
    </w:p>
    <w:p>
      <w:pPr>
        <w:pStyle w:val="ListBullet"/>
        <w:spacing w:after="60"/>
      </w:pPr>
      <w:r>
        <w:rPr>
          <w:rFonts w:ascii="Arial" w:hAnsi="Arial" w:eastAsia="Arial"/>
          <w:color w:val="222222"/>
          <w:sz w:val="22"/>
        </w:rPr>
        <w:t>Phải phù hợp với Hiến pháp, văn bản có hiệu lực pháp lý cao hơn và bảo đảm tính thống nhất của hệ thống pháp luật.</w:t>
      </w:r>
    </w:p>
    <w:p>
      <w:pPr>
        <w:pStyle w:val="Heading3"/>
      </w:pPr>
      <w:r>
        <w:t>Nguyên tắc trọng tâm</w:t>
      </w:r>
    </w:p>
    <w:p>
      <w:pPr>
        <w:pStyle w:val="ListBullet"/>
        <w:spacing w:after="60"/>
      </w:pPr>
      <w:r>
        <w:rPr>
          <w:rFonts w:ascii="Arial" w:hAnsi="Arial" w:eastAsia="Arial"/>
          <w:color w:val="222222"/>
          <w:sz w:val="22"/>
        </w:rPr>
        <w:t>Bảo đảm sự lãnh đạo của Đảng, chủ quyền nhân dân và kiểm soát quyền lực nhà nước.</w:t>
      </w:r>
    </w:p>
    <w:p>
      <w:pPr>
        <w:pStyle w:val="ListBullet"/>
        <w:spacing w:after="60"/>
      </w:pPr>
      <w:r>
        <w:rPr>
          <w:rFonts w:ascii="Arial" w:hAnsi="Arial" w:eastAsia="Arial"/>
          <w:color w:val="222222"/>
          <w:sz w:val="22"/>
        </w:rPr>
        <w:t>Bảo đảm tính hợp hiến, hợp pháp, thống nhất, công khai, minh bạch, khả thi và ổn định.</w:t>
      </w:r>
    </w:p>
    <w:p>
      <w:pPr>
        <w:pStyle w:val="ListBullet"/>
        <w:spacing w:after="60"/>
      </w:pPr>
      <w:r>
        <w:rPr>
          <w:rFonts w:ascii="Arial" w:hAnsi="Arial" w:eastAsia="Arial"/>
          <w:color w:val="222222"/>
          <w:sz w:val="22"/>
        </w:rPr>
        <w:t>Đúng thẩm quyền, nội dung, hình thức, trình tự và thủ tục.</w:t>
      </w:r>
    </w:p>
    <w:p>
      <w:pPr>
        <w:pStyle w:val="ListBullet"/>
        <w:spacing w:after="60"/>
      </w:pPr>
      <w:r>
        <w:rPr>
          <w:rFonts w:ascii="Arial" w:hAnsi="Arial" w:eastAsia="Arial"/>
          <w:color w:val="222222"/>
          <w:sz w:val="22"/>
        </w:rPr>
        <w:t>Tôn trọng, bảo vệ quyền con người, quyền công dân; bảo đảm quốc phòng, an ninh và thực hiện điều ước quốc tế mà Việt Nam là thành viên.</w:t>
      </w:r>
    </w:p>
    <w:p>
      <w:pPr>
        <w:pStyle w:val="ListBullet"/>
        <w:spacing w:after="60"/>
      </w:pPr>
      <w:r>
        <w:rPr>
          <w:rFonts w:ascii="Arial" w:hAnsi="Arial" w:eastAsia="Arial"/>
          <w:color w:val="222222"/>
          <w:sz w:val="22"/>
        </w:rPr>
        <w:t>Quy trình cụ thể phụ thuộc từng loại văn bản; không dùng một quy trình của luật để áp dụng cho mọi văn bản.</w:t>
      </w:r>
    </w:p>
    <w:tbl>
      <w:tblPr>
        <w:tblStyle w:val="TableGrid"/>
        <w:tblW w:type="auto" w:w="0"/>
        <w:jc w:val="center"/>
        <w:tblLayout w:type="fixed"/>
        <w:tblLook w:firstColumn="1" w:firstRow="1" w:lastColumn="0" w:lastRow="0" w:noHBand="0" w:noVBand="1" w:val="04A0"/>
      </w:tblPr>
      <w:tblGrid>
        <w:gridCol w:w="9749"/>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quy tắc xử sự chung; áp dụng nhiều lần; đúng thẩm quyền; hợp hiến; hợp pháp; thống nhất; minh bạch; khả thi</w:t>
            </w:r>
          </w:p>
        </w:tc>
      </w:tr>
    </w:tbl>
    <w:p>
      <w:pPr>
        <w:spacing w:after="0"/>
      </w:pPr>
    </w:p>
    <w:p>
      <w:pPr>
        <w:pStyle w:val="Heading2"/>
      </w:pPr>
      <w:r>
        <w:t>Câu 3. Bản chất và đặc trưng của Nhà nước CHXHCN Việt Nam</w:t>
      </w:r>
    </w:p>
    <w:p>
      <w:pPr>
        <w:pStyle w:val="Heading3"/>
      </w:pPr>
      <w:r>
        <w:t>Bản chất hiến định</w:t>
      </w:r>
    </w:p>
    <w:p>
      <w:pPr>
        <w:jc w:val="both"/>
      </w:pPr>
      <w:r>
        <w:rPr>
          <w:rFonts w:ascii="Arial" w:hAnsi="Arial" w:eastAsia="Arial"/>
          <w:color w:val="222222"/>
          <w:sz w:val="22"/>
        </w:rPr>
        <w:t>Nhà nước Cộng hòa xã hội chủ nghĩa Việt Nam là Nhà nước pháp quyền xã hội chủ nghĩa của Nhân dân, do Nhân dân, vì Nhân dân. Tất cả quyền lực nhà nước thuộc về Nhân dân; nền tảng là liên minh giữa giai cấp công nhân với giai cấp nông dân và đội ngũ trí thức.</w:t>
      </w:r>
    </w:p>
    <w:p>
      <w:pPr>
        <w:pStyle w:val="Heading3"/>
      </w:pPr>
      <w:r>
        <w:t>Đặc trưng</w:t>
      </w:r>
    </w:p>
    <w:p>
      <w:pPr>
        <w:pStyle w:val="ListBullet"/>
        <w:spacing w:after="60"/>
      </w:pPr>
      <w:r>
        <w:rPr>
          <w:rFonts w:ascii="Arial" w:hAnsi="Arial" w:eastAsia="Arial"/>
          <w:color w:val="222222"/>
          <w:sz w:val="22"/>
        </w:rPr>
        <w:t>Quyền lực nhà nước là thống nhất, có sự phân công, phối hợp và kiểm soát giữa các cơ quan thực hiện quyền lập pháp, hành pháp và tư pháp.</w:t>
      </w:r>
    </w:p>
    <w:p>
      <w:pPr>
        <w:pStyle w:val="ListBullet"/>
        <w:spacing w:after="60"/>
      </w:pPr>
      <w:r>
        <w:rPr>
          <w:rFonts w:ascii="Arial" w:hAnsi="Arial" w:eastAsia="Arial"/>
          <w:color w:val="222222"/>
          <w:sz w:val="22"/>
        </w:rPr>
        <w:t>Nhà nước tổ chức và hoạt động theo Hiến pháp, pháp luật; quản lý xã hội bằng Hiến pháp và pháp luật.</w:t>
      </w:r>
    </w:p>
    <w:p>
      <w:pPr>
        <w:pStyle w:val="ListBullet"/>
        <w:spacing w:after="60"/>
      </w:pPr>
      <w:r>
        <w:rPr>
          <w:rFonts w:ascii="Arial" w:hAnsi="Arial" w:eastAsia="Arial"/>
          <w:color w:val="222222"/>
          <w:sz w:val="22"/>
        </w:rPr>
        <w:t>Công nhận, tôn trọng, bảo vệ và bảo đảm quyền con người, quyền công dân.</w:t>
      </w:r>
    </w:p>
    <w:p>
      <w:pPr>
        <w:pStyle w:val="ListBullet"/>
        <w:spacing w:after="60"/>
      </w:pPr>
      <w:r>
        <w:rPr>
          <w:rFonts w:ascii="Arial" w:hAnsi="Arial" w:eastAsia="Arial"/>
          <w:color w:val="222222"/>
          <w:sz w:val="22"/>
        </w:rPr>
        <w:t>Đảng Cộng sản Việt Nam lãnh đạo Nhà nước và xã hội, gắn bó và chịu sự giám sát của Nhân dân, chịu trách nhiệm trước Nhân dân về quyết định của mình.</w:t>
      </w:r>
    </w:p>
    <w:p>
      <w:pPr>
        <w:pStyle w:val="ListBullet"/>
        <w:spacing w:after="60"/>
      </w:pPr>
      <w:r>
        <w:rPr>
          <w:rFonts w:ascii="Arial" w:hAnsi="Arial" w:eastAsia="Arial"/>
          <w:color w:val="222222"/>
          <w:sz w:val="22"/>
        </w:rPr>
        <w:t>Thực hiện đại đoàn kết dân tộc, bình đẳng giữa các dân tộc và đường lối đối ngoại hòa bình, hợp tác.</w:t>
      </w:r>
    </w:p>
    <w:p>
      <w:pPr>
        <w:pStyle w:val="Heading3"/>
      </w:pPr>
      <w:r>
        <w:t>Lưu ý</w:t>
      </w:r>
    </w:p>
    <w:p>
      <w:pPr>
        <w:jc w:val="both"/>
      </w:pPr>
      <w:r>
        <w:rPr>
          <w:rFonts w:ascii="Arial" w:hAnsi="Arial" w:eastAsia="Arial"/>
          <w:color w:val="222222"/>
          <w:sz w:val="22"/>
        </w:rPr>
        <w:t>Không dùng tám đặc trưng của “xã hội xã hội chủ nghĩa” để thay thế hoàn toàn cho đặc trưng của Nhà nước Việt Nam.</w:t>
      </w:r>
    </w:p>
    <w:tbl>
      <w:tblPr>
        <w:tblStyle w:val="TableGrid"/>
        <w:tblW w:type="auto" w:w="0"/>
        <w:jc w:val="center"/>
        <w:tblLayout w:type="fixed"/>
        <w:tblLook w:firstColumn="1" w:firstRow="1" w:lastColumn="0" w:lastRow="0" w:noHBand="0" w:noVBand="1" w:val="04A0"/>
      </w:tblPr>
      <w:tblGrid>
        <w:gridCol w:w="9749"/>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Nhân dân; pháp quyền XHCN; quyền lực thống nhất; phân công–phối hợp–kiểm soát; quyền con người; Đảng lãnh đạo</w:t>
            </w:r>
          </w:p>
        </w:tc>
      </w:tr>
    </w:tbl>
    <w:p>
      <w:pPr>
        <w:spacing w:after="0"/>
      </w:pPr>
    </w:p>
    <w:p>
      <w:pPr>
        <w:pStyle w:val="Heading2"/>
      </w:pPr>
      <w:r>
        <w:t>Câu 4. Khái niệm và các nguyên tắc cơ bản của Luật Hình sự</w:t>
      </w:r>
    </w:p>
    <w:p>
      <w:pPr>
        <w:pStyle w:val="Heading3"/>
      </w:pPr>
      <w:r>
        <w:t>Khái niệm</w:t>
      </w:r>
    </w:p>
    <w:p>
      <w:pPr>
        <w:jc w:val="both"/>
      </w:pPr>
      <w:r>
        <w:rPr>
          <w:rFonts w:ascii="Arial" w:hAnsi="Arial" w:eastAsia="Arial"/>
          <w:color w:val="222222"/>
          <w:sz w:val="22"/>
        </w:rPr>
        <w:t>Luật Hình sự là ngành luật gồm các quy phạm xác định hành vi nào là tội phạm, quy định hình phạt, biện pháp tư pháp, căn cứ trách nhiệm hình sự và các vấn đề liên quan.</w:t>
      </w:r>
    </w:p>
    <w:p>
      <w:pPr>
        <w:pStyle w:val="Heading3"/>
      </w:pPr>
      <w:r>
        <w:t>Nguyên tắc</w:t>
      </w:r>
    </w:p>
    <w:p>
      <w:pPr>
        <w:pStyle w:val="ListBullet"/>
        <w:spacing w:after="60"/>
      </w:pPr>
      <w:r>
        <w:rPr>
          <w:rFonts w:ascii="Arial" w:hAnsi="Arial" w:eastAsia="Arial"/>
          <w:color w:val="222222"/>
          <w:sz w:val="22"/>
        </w:rPr>
        <w:t>Pháp chế: chỉ Bộ luật Hình sự mới quy định tội phạm và hình phạt; xử lý đúng căn cứ, thẩm quyền và thủ tục.</w:t>
      </w:r>
    </w:p>
    <w:p>
      <w:pPr>
        <w:pStyle w:val="ListBullet"/>
        <w:spacing w:after="60"/>
      </w:pPr>
      <w:r>
        <w:rPr>
          <w:rFonts w:ascii="Arial" w:hAnsi="Arial" w:eastAsia="Arial"/>
          <w:color w:val="222222"/>
          <w:sz w:val="22"/>
        </w:rPr>
        <w:t>Bình đẳng trước pháp luật hình sự.</w:t>
      </w:r>
    </w:p>
    <w:p>
      <w:pPr>
        <w:pStyle w:val="ListBullet"/>
        <w:spacing w:after="60"/>
      </w:pPr>
      <w:r>
        <w:rPr>
          <w:rFonts w:ascii="Arial" w:hAnsi="Arial" w:eastAsia="Arial"/>
          <w:color w:val="222222"/>
          <w:sz w:val="22"/>
        </w:rPr>
        <w:t>Có lỗi: không có lỗi thì không có trách nhiệm hình sự.</w:t>
      </w:r>
    </w:p>
    <w:p>
      <w:pPr>
        <w:pStyle w:val="ListBullet"/>
        <w:spacing w:after="60"/>
      </w:pPr>
      <w:r>
        <w:rPr>
          <w:rFonts w:ascii="Arial" w:hAnsi="Arial" w:eastAsia="Arial"/>
          <w:color w:val="222222"/>
          <w:sz w:val="22"/>
        </w:rPr>
        <w:t>Cá thể hóa trách nhiệm và hình phạt theo tính chất hành vi, nhân thân và tình tiết vụ án.</w:t>
      </w:r>
    </w:p>
    <w:p>
      <w:pPr>
        <w:pStyle w:val="ListBullet"/>
        <w:spacing w:after="60"/>
      </w:pPr>
      <w:r>
        <w:rPr>
          <w:rFonts w:ascii="Arial" w:hAnsi="Arial" w:eastAsia="Arial"/>
          <w:color w:val="222222"/>
          <w:sz w:val="22"/>
        </w:rPr>
        <w:t>Công bằng, nhân đạo; hình phạt không nhằm trả thù hoặc hạ thấp nhân phẩm.</w:t>
      </w:r>
    </w:p>
    <w:p>
      <w:pPr>
        <w:pStyle w:val="ListBullet"/>
        <w:spacing w:after="60"/>
      </w:pPr>
      <w:r>
        <w:rPr>
          <w:rFonts w:ascii="Arial" w:hAnsi="Arial" w:eastAsia="Arial"/>
          <w:color w:val="222222"/>
          <w:sz w:val="22"/>
        </w:rPr>
        <w:t>Trách nhiệm hình sự không chỉ áp dụng với cá nhân; pháp nhân thương mại có thể chịu trách nhiệm đối với các tội luật định.</w:t>
      </w:r>
    </w:p>
    <w:tbl>
      <w:tblPr>
        <w:tblStyle w:val="TableGrid"/>
        <w:tblW w:type="auto" w:w="0"/>
        <w:jc w:val="center"/>
        <w:tblLayout w:type="fixed"/>
        <w:tblLook w:firstColumn="1" w:firstRow="1" w:lastColumn="0" w:lastRow="0" w:noHBand="0" w:noVBand="1" w:val="04A0"/>
      </w:tblPr>
      <w:tblGrid>
        <w:gridCol w:w="9749"/>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tội phạm; hình phạt; pháp chế; bình đẳng; có lỗi; cá thể hóa; công bằng; nhân đạo; pháp nhân thương mại</w:t>
            </w:r>
          </w:p>
        </w:tc>
      </w:tr>
    </w:tbl>
    <w:p>
      <w:pPr>
        <w:spacing w:after="0"/>
      </w:pPr>
    </w:p>
    <w:p>
      <w:pPr>
        <w:pStyle w:val="Heading2"/>
      </w:pPr>
      <w:r>
        <w:t>Câu 5. Quan hệ pháp luật: khái niệm, đặc điểm và các yếu tố cấu thành</w:t>
      </w:r>
    </w:p>
    <w:p>
      <w:pPr>
        <w:pStyle w:val="Heading3"/>
      </w:pPr>
      <w:r>
        <w:t>Khái niệm</w:t>
      </w:r>
    </w:p>
    <w:p>
      <w:pPr>
        <w:jc w:val="both"/>
      </w:pPr>
      <w:r>
        <w:rPr>
          <w:rFonts w:ascii="Arial" w:hAnsi="Arial" w:eastAsia="Arial"/>
          <w:color w:val="222222"/>
          <w:sz w:val="22"/>
        </w:rPr>
        <w:t>Quan hệ pháp luật là quan hệ xã hội được quy phạm pháp luật điều chỉnh, trong đó các bên có quyền và nghĩa vụ pháp lý được Nhà nước bảo đảm thực hiện.</w:t>
      </w:r>
    </w:p>
    <w:p>
      <w:pPr>
        <w:pStyle w:val="Heading3"/>
      </w:pPr>
      <w:r>
        <w:t>Đặc điểm</w:t>
      </w:r>
    </w:p>
    <w:p>
      <w:pPr>
        <w:pStyle w:val="ListBullet"/>
        <w:spacing w:after="60"/>
      </w:pPr>
      <w:r>
        <w:rPr>
          <w:rFonts w:ascii="Arial" w:hAnsi="Arial" w:eastAsia="Arial"/>
          <w:color w:val="222222"/>
          <w:sz w:val="22"/>
        </w:rPr>
        <w:t>Phát sinh trên cơ sở quy phạm pháp luật và sự kiện pháp lý.</w:t>
      </w:r>
    </w:p>
    <w:p>
      <w:pPr>
        <w:pStyle w:val="ListBullet"/>
        <w:spacing w:after="60"/>
      </w:pPr>
      <w:r>
        <w:rPr>
          <w:rFonts w:ascii="Arial" w:hAnsi="Arial" w:eastAsia="Arial"/>
          <w:color w:val="222222"/>
          <w:sz w:val="22"/>
        </w:rPr>
        <w:t>Mang tính ý chí; có chủ thể xác định.</w:t>
      </w:r>
    </w:p>
    <w:p>
      <w:pPr>
        <w:pStyle w:val="ListBullet"/>
        <w:spacing w:after="60"/>
      </w:pPr>
      <w:r>
        <w:rPr>
          <w:rFonts w:ascii="Arial" w:hAnsi="Arial" w:eastAsia="Arial"/>
          <w:color w:val="222222"/>
          <w:sz w:val="22"/>
        </w:rPr>
        <w:t>Các bên có quyền chủ thể và nghĩa vụ pháp lý tương ứng.</w:t>
      </w:r>
    </w:p>
    <w:p>
      <w:pPr>
        <w:pStyle w:val="ListBullet"/>
        <w:spacing w:after="60"/>
      </w:pPr>
      <w:r>
        <w:rPr>
          <w:rFonts w:ascii="Arial" w:hAnsi="Arial" w:eastAsia="Arial"/>
          <w:color w:val="222222"/>
          <w:sz w:val="22"/>
        </w:rPr>
        <w:t>Được Nhà nước bảo đảm thực hiện.</w:t>
      </w:r>
    </w:p>
    <w:p>
      <w:pPr>
        <w:pStyle w:val="Heading3"/>
      </w:pPr>
      <w:r>
        <w:t>Các yếu tố</w:t>
      </w:r>
    </w:p>
    <w:p>
      <w:pPr>
        <w:pStyle w:val="ListBullet"/>
        <w:spacing w:after="60"/>
      </w:pPr>
      <w:r>
        <w:rPr>
          <w:rFonts w:ascii="Arial" w:hAnsi="Arial" w:eastAsia="Arial"/>
          <w:color w:val="222222"/>
          <w:sz w:val="22"/>
        </w:rPr>
        <w:t>Chủ thể: cá nhân, pháp nhân, tổ chức hoặc Nhà nước có năng lực chủ thể phù hợp. Pháp nhân phải đáp ứng Điều 74 BLDS 2015.</w:t>
      </w:r>
    </w:p>
    <w:p>
      <w:pPr>
        <w:pStyle w:val="ListBullet"/>
        <w:spacing w:after="60"/>
      </w:pPr>
      <w:r>
        <w:rPr>
          <w:rFonts w:ascii="Arial" w:hAnsi="Arial" w:eastAsia="Arial"/>
          <w:color w:val="222222"/>
          <w:sz w:val="22"/>
        </w:rPr>
        <w:t>Nội dung: quyền chủ thể và nghĩa vụ pháp lý.</w:t>
      </w:r>
    </w:p>
    <w:p>
      <w:pPr>
        <w:pStyle w:val="ListBullet"/>
        <w:spacing w:after="60"/>
      </w:pPr>
      <w:r>
        <w:rPr>
          <w:rFonts w:ascii="Arial" w:hAnsi="Arial" w:eastAsia="Arial"/>
          <w:color w:val="222222"/>
          <w:sz w:val="22"/>
        </w:rPr>
        <w:t>Khách thể: lợi ích vật chất, tinh thần hoặc kết quả hành vi mà các chủ thể hướng tới.</w:t>
      </w:r>
    </w:p>
    <w:tbl>
      <w:tblPr>
        <w:tblStyle w:val="TableGrid"/>
        <w:tblW w:type="auto" w:w="0"/>
        <w:jc w:val="center"/>
        <w:tblLayout w:type="fixed"/>
        <w:tblLook w:firstColumn="1" w:firstRow="1" w:lastColumn="0" w:lastRow="0" w:noHBand="0" w:noVBand="1" w:val="04A0"/>
      </w:tblPr>
      <w:tblGrid>
        <w:gridCol w:w="9749"/>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quy phạm pháp luật + sự kiện pháp lý; chủ thể; năng lực pháp luật; năng lực hành vi; nội dung; khách thể</w:t>
            </w:r>
          </w:p>
        </w:tc>
      </w:tr>
    </w:tbl>
    <w:p>
      <w:pPr>
        <w:spacing w:after="0"/>
      </w:pPr>
    </w:p>
    <w:p>
      <w:pPr>
        <w:pStyle w:val="Heading2"/>
      </w:pPr>
      <w:r>
        <w:t>Câu 6. Hình thức pháp luật và các loại hình thức pháp luật</w:t>
      </w:r>
    </w:p>
    <w:p>
      <w:pPr>
        <w:pStyle w:val="Heading3"/>
      </w:pPr>
      <w:r>
        <w:t>Khái niệm</w:t>
      </w:r>
    </w:p>
    <w:p>
      <w:pPr>
        <w:jc w:val="both"/>
      </w:pPr>
      <w:r>
        <w:rPr>
          <w:rFonts w:ascii="Arial" w:hAnsi="Arial" w:eastAsia="Arial"/>
          <w:color w:val="222222"/>
          <w:sz w:val="22"/>
        </w:rPr>
        <w:t>Hình thức pháp luật là cách thức biểu hiện ra bên ngoài của pháp luật, qua đó các quy tắc pháp lý được nhận biết và áp dụng.</w:t>
      </w:r>
    </w:p>
    <w:p>
      <w:pPr>
        <w:pStyle w:val="Heading3"/>
      </w:pPr>
      <w:r>
        <w:t>Các loại</w:t>
      </w:r>
    </w:p>
    <w:p>
      <w:pPr>
        <w:pStyle w:val="ListBullet"/>
        <w:spacing w:after="60"/>
      </w:pPr>
      <w:r>
        <w:rPr>
          <w:rFonts w:ascii="Arial" w:hAnsi="Arial" w:eastAsia="Arial"/>
          <w:color w:val="222222"/>
          <w:sz w:val="22"/>
        </w:rPr>
        <w:t>Tập quán pháp: tập quán được Nhà nước thừa nhận và bảo đảm thực hiện.</w:t>
      </w:r>
    </w:p>
    <w:p>
      <w:pPr>
        <w:pStyle w:val="ListBullet"/>
        <w:spacing w:after="60"/>
      </w:pPr>
      <w:r>
        <w:rPr>
          <w:rFonts w:ascii="Arial" w:hAnsi="Arial" w:eastAsia="Arial"/>
          <w:color w:val="222222"/>
          <w:sz w:val="22"/>
        </w:rPr>
        <w:t>Tiền lệ pháp/án lệ: cách giải quyết trong bản án, quyết định được lựa chọn và công bố để nghiên cứu, áp dụng cho vụ việc tương tự theo điều kiện pháp luật.</w:t>
      </w:r>
    </w:p>
    <w:p>
      <w:pPr>
        <w:pStyle w:val="ListBullet"/>
        <w:spacing w:after="60"/>
      </w:pPr>
      <w:r>
        <w:rPr>
          <w:rFonts w:ascii="Arial" w:hAnsi="Arial" w:eastAsia="Arial"/>
          <w:color w:val="222222"/>
          <w:sz w:val="22"/>
        </w:rPr>
        <w:t>Văn bản quy phạm pháp luật: hình thức chủ yếu trong hệ thống pháp luật Việt Nam.</w:t>
      </w:r>
    </w:p>
    <w:p>
      <w:pPr>
        <w:pStyle w:val="ListBullet"/>
        <w:spacing w:after="60"/>
      </w:pPr>
      <w:r>
        <w:rPr>
          <w:rFonts w:ascii="Arial" w:hAnsi="Arial" w:eastAsia="Arial"/>
          <w:color w:val="222222"/>
          <w:sz w:val="22"/>
        </w:rPr>
        <w:t>Ngoài ra, điều ước quốc tế và các nguyên tắc chung có vai trò theo quy định của từng lĩnh vực.</w:t>
      </w:r>
    </w:p>
    <w:tbl>
      <w:tblPr>
        <w:tblStyle w:val="TableGrid"/>
        <w:tblW w:type="auto" w:w="0"/>
        <w:jc w:val="center"/>
        <w:tblLayout w:type="fixed"/>
        <w:tblLook w:firstColumn="1" w:firstRow="1" w:lastColumn="0" w:lastRow="0" w:noHBand="0" w:noVBand="1" w:val="04A0"/>
      </w:tblPr>
      <w:tblGrid>
        <w:gridCol w:w="9749"/>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hình thức bên ngoài; tập quán pháp; án lệ; văn bản quy phạm pháp luật; điều ước quốc tế</w:t>
            </w:r>
          </w:p>
        </w:tc>
      </w:tr>
    </w:tbl>
    <w:p>
      <w:pPr>
        <w:spacing w:after="0"/>
      </w:pPr>
    </w:p>
    <w:p>
      <w:pPr>
        <w:pStyle w:val="Heading2"/>
      </w:pPr>
      <w:r>
        <w:t>Câu 7. Luật Dân sự: đối tượng và phương pháp điều chỉnh</w:t>
      </w:r>
    </w:p>
    <w:p>
      <w:pPr>
        <w:pStyle w:val="Heading3"/>
      </w:pPr>
      <w:r>
        <w:t>Khái niệm</w:t>
      </w:r>
    </w:p>
    <w:p>
      <w:pPr>
        <w:jc w:val="both"/>
      </w:pPr>
      <w:r>
        <w:rPr>
          <w:rFonts w:ascii="Arial" w:hAnsi="Arial" w:eastAsia="Arial"/>
          <w:color w:val="222222"/>
          <w:sz w:val="22"/>
        </w:rPr>
        <w:t>Luật Dân sự là ngành luật điều chỉnh quan hệ tài sản và quan hệ nhân thân được hình thành trên cơ sở bình đẳng, tự do ý chí, độc lập về tài sản và tự chịu trách nhiệm.</w:t>
      </w:r>
    </w:p>
    <w:p>
      <w:pPr>
        <w:pStyle w:val="Heading3"/>
      </w:pPr>
      <w:r>
        <w:t>Đối tượng</w:t>
      </w:r>
    </w:p>
    <w:p>
      <w:pPr>
        <w:pStyle w:val="ListBullet"/>
        <w:spacing w:after="60"/>
      </w:pPr>
      <w:r>
        <w:rPr>
          <w:rFonts w:ascii="Arial" w:hAnsi="Arial" w:eastAsia="Arial"/>
          <w:color w:val="222222"/>
          <w:sz w:val="22"/>
        </w:rPr>
        <w:t>Quan hệ tài sản: quan hệ giữa các chủ thể thông qua tài sản, thường có tính giá trị và trao đổi.</w:t>
      </w:r>
    </w:p>
    <w:p>
      <w:pPr>
        <w:pStyle w:val="ListBullet"/>
        <w:spacing w:after="60"/>
      </w:pPr>
      <w:r>
        <w:rPr>
          <w:rFonts w:ascii="Arial" w:hAnsi="Arial" w:eastAsia="Arial"/>
          <w:color w:val="222222"/>
          <w:sz w:val="22"/>
        </w:rPr>
        <w:t>Quan hệ nhân thân: quan hệ gắn với giá trị nhân thân; có thể liên quan hoặc không liên quan đến tài sản.</w:t>
      </w:r>
    </w:p>
    <w:p>
      <w:pPr>
        <w:pStyle w:val="Heading3"/>
      </w:pPr>
      <w:r>
        <w:t>Phương pháp</w:t>
      </w:r>
    </w:p>
    <w:p>
      <w:pPr>
        <w:pStyle w:val="ListBullet"/>
        <w:spacing w:after="60"/>
      </w:pPr>
      <w:r>
        <w:rPr>
          <w:rFonts w:ascii="Arial" w:hAnsi="Arial" w:eastAsia="Arial"/>
          <w:color w:val="222222"/>
          <w:sz w:val="22"/>
        </w:rPr>
        <w:t>Bình đẳng về địa vị pháp lý.</w:t>
      </w:r>
    </w:p>
    <w:p>
      <w:pPr>
        <w:pStyle w:val="ListBullet"/>
        <w:spacing w:after="60"/>
      </w:pPr>
      <w:r>
        <w:rPr>
          <w:rFonts w:ascii="Arial" w:hAnsi="Arial" w:eastAsia="Arial"/>
          <w:color w:val="222222"/>
          <w:sz w:val="22"/>
        </w:rPr>
        <w:t>Tự do, tự nguyện cam kết, thỏa thuận nhưng không được vi phạm điều cấm hoặc trái đạo đức xã hội.</w:t>
      </w:r>
    </w:p>
    <w:p>
      <w:pPr>
        <w:pStyle w:val="ListBullet"/>
        <w:spacing w:after="60"/>
      </w:pPr>
      <w:r>
        <w:rPr>
          <w:rFonts w:ascii="Arial" w:hAnsi="Arial" w:eastAsia="Arial"/>
          <w:color w:val="222222"/>
          <w:sz w:val="22"/>
        </w:rPr>
        <w:t>Độc lập về tài sản và tự chịu trách nhiệm.</w:t>
      </w:r>
    </w:p>
    <w:p>
      <w:pPr>
        <w:pStyle w:val="ListBullet"/>
        <w:spacing w:after="60"/>
      </w:pPr>
      <w:r>
        <w:rPr>
          <w:rFonts w:ascii="Arial" w:hAnsi="Arial" w:eastAsia="Arial"/>
          <w:color w:val="222222"/>
          <w:sz w:val="22"/>
        </w:rPr>
        <w:t>Tòa án chỉ giải quyết khi có yêu cầu và trong phạm vi yêu cầu, trừ trường hợp luật quy định khác.</w:t>
      </w:r>
    </w:p>
    <w:tbl>
      <w:tblPr>
        <w:tblStyle w:val="TableGrid"/>
        <w:tblW w:type="auto" w:w="0"/>
        <w:jc w:val="center"/>
        <w:tblLayout w:type="fixed"/>
        <w:tblLook w:firstColumn="1" w:firstRow="1" w:lastColumn="0" w:lastRow="0" w:noHBand="0" w:noVBand="1" w:val="04A0"/>
      </w:tblPr>
      <w:tblGrid>
        <w:gridCol w:w="9749"/>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quan hệ tài sản; quan hệ nhân thân; bình đẳng; tự do ý chí; độc lập tài sản; tự chịu trách nhiệm</w:t>
            </w:r>
          </w:p>
        </w:tc>
      </w:tr>
    </w:tbl>
    <w:p>
      <w:pPr>
        <w:spacing w:after="0"/>
      </w:pPr>
    </w:p>
    <w:p>
      <w:pPr>
        <w:pStyle w:val="Heading2"/>
      </w:pPr>
      <w:r>
        <w:t>Câu 8. Quy phạm pháp luật: khái niệm, đặc điểm và cấu trúc</w:t>
      </w:r>
    </w:p>
    <w:p>
      <w:pPr>
        <w:pStyle w:val="Heading3"/>
      </w:pPr>
      <w:r>
        <w:t>Khái niệm</w:t>
      </w:r>
    </w:p>
    <w:p>
      <w:pPr>
        <w:jc w:val="both"/>
      </w:pPr>
      <w:r>
        <w:rPr>
          <w:rFonts w:ascii="Arial" w:hAnsi="Arial" w:eastAsia="Arial"/>
          <w:color w:val="222222"/>
          <w:sz w:val="22"/>
        </w:rPr>
        <w:t>Quy phạm pháp luật là quy tắc xử sự chung, có hiệu lực bắt buộc chung, do Nhà nước ban hành hoặc thừa nhận và bảo đảm thực hiện nhằm điều chỉnh quan hệ xã hội.</w:t>
      </w:r>
    </w:p>
    <w:p>
      <w:pPr>
        <w:pStyle w:val="Heading3"/>
      </w:pPr>
      <w:r>
        <w:t>Đặc điểm</w:t>
      </w:r>
    </w:p>
    <w:p>
      <w:pPr>
        <w:pStyle w:val="ListBullet"/>
        <w:spacing w:after="60"/>
      </w:pPr>
      <w:r>
        <w:rPr>
          <w:rFonts w:ascii="Arial" w:hAnsi="Arial" w:eastAsia="Arial"/>
          <w:color w:val="222222"/>
          <w:sz w:val="22"/>
        </w:rPr>
        <w:t>Tính bắt buộc chung và áp dụng nhiều lần.</w:t>
      </w:r>
    </w:p>
    <w:p>
      <w:pPr>
        <w:pStyle w:val="ListBullet"/>
        <w:spacing w:after="60"/>
      </w:pPr>
      <w:r>
        <w:rPr>
          <w:rFonts w:ascii="Arial" w:hAnsi="Arial" w:eastAsia="Arial"/>
          <w:color w:val="222222"/>
          <w:sz w:val="22"/>
        </w:rPr>
        <w:t>Thể hiện ý chí nhà nước; xác định quyền, nghĩa vụ hoặc hậu quả pháp lý.</w:t>
      </w:r>
    </w:p>
    <w:p>
      <w:pPr>
        <w:pStyle w:val="ListBullet"/>
        <w:spacing w:after="60"/>
      </w:pPr>
      <w:r>
        <w:rPr>
          <w:rFonts w:ascii="Arial" w:hAnsi="Arial" w:eastAsia="Arial"/>
          <w:color w:val="222222"/>
          <w:sz w:val="22"/>
        </w:rPr>
        <w:t>Có hình thức chặt chẽ và được bảo đảm bằng quyền lực nhà nước.</w:t>
      </w:r>
    </w:p>
    <w:p>
      <w:pPr>
        <w:pStyle w:val="Heading3"/>
      </w:pPr>
      <w:r>
        <w:t>Cấu trúc logic</w:t>
      </w:r>
    </w:p>
    <w:p>
      <w:pPr>
        <w:pStyle w:val="ListBullet"/>
        <w:spacing w:after="60"/>
      </w:pPr>
      <w:r>
        <w:rPr>
          <w:rFonts w:ascii="Arial" w:hAnsi="Arial" w:eastAsia="Arial"/>
          <w:color w:val="222222"/>
          <w:sz w:val="22"/>
        </w:rPr>
        <w:t>Giả định: chủ thể, điều kiện, hoàn cảnh áp dụng – trả lời ai, khi nào, trong trường hợp nào.</w:t>
      </w:r>
    </w:p>
    <w:p>
      <w:pPr>
        <w:pStyle w:val="ListBullet"/>
        <w:spacing w:after="60"/>
      </w:pPr>
      <w:r>
        <w:rPr>
          <w:rFonts w:ascii="Arial" w:hAnsi="Arial" w:eastAsia="Arial"/>
          <w:color w:val="222222"/>
          <w:sz w:val="22"/>
        </w:rPr>
        <w:t>Quy định: cách xử sự được phép, bắt buộc hoặc bị cấm.</w:t>
      </w:r>
    </w:p>
    <w:p>
      <w:pPr>
        <w:pStyle w:val="ListBullet"/>
        <w:spacing w:after="60"/>
      </w:pPr>
      <w:r>
        <w:rPr>
          <w:rFonts w:ascii="Arial" w:hAnsi="Arial" w:eastAsia="Arial"/>
          <w:color w:val="222222"/>
          <w:sz w:val="22"/>
        </w:rPr>
        <w:t>Chế tài: hậu quả pháp lý bất lợi khi không thực hiện đúng quy định.</w:t>
      </w:r>
    </w:p>
    <w:p>
      <w:pPr>
        <w:pStyle w:val="ListBullet"/>
        <w:spacing w:after="60"/>
      </w:pPr>
      <w:r>
        <w:rPr>
          <w:rFonts w:ascii="Arial" w:hAnsi="Arial" w:eastAsia="Arial"/>
          <w:color w:val="222222"/>
          <w:sz w:val="22"/>
        </w:rPr>
        <w:t>Một quy phạm không nhất thiết có đủ ba bộ phận trong cùng một điều luật; một điều luật cũng có thể chứa nhiều quy phạm.</w:t>
      </w:r>
    </w:p>
    <w:tbl>
      <w:tblPr>
        <w:tblStyle w:val="TableGrid"/>
        <w:tblW w:type="auto" w:w="0"/>
        <w:jc w:val="center"/>
        <w:tblLayout w:type="fixed"/>
        <w:tblLook w:firstColumn="1" w:firstRow="1" w:lastColumn="0" w:lastRow="0" w:noHBand="0" w:noVBand="1" w:val="04A0"/>
      </w:tblPr>
      <w:tblGrid>
        <w:gridCol w:w="9749"/>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quy tắc xử sự chung; giả định; quy định; chế tài; quy phạm không đồng nhất với điều luật</w:t>
            </w:r>
          </w:p>
        </w:tc>
      </w:tr>
    </w:tbl>
    <w:p>
      <w:pPr>
        <w:spacing w:after="0"/>
      </w:pPr>
    </w:p>
    <w:p>
      <w:pPr>
        <w:pStyle w:val="Heading2"/>
      </w:pPr>
      <w:r>
        <w:t>Câu 9. Sở hữu và quyền sở hữu theo Bộ luật Dân sự 2015</w:t>
      </w:r>
    </w:p>
    <w:p>
      <w:pPr>
        <w:pStyle w:val="Heading3"/>
      </w:pPr>
      <w:r>
        <w:t>Khái niệm</w:t>
      </w:r>
    </w:p>
    <w:p>
      <w:pPr>
        <w:jc w:val="both"/>
      </w:pPr>
      <w:r>
        <w:rPr>
          <w:rFonts w:ascii="Arial" w:hAnsi="Arial" w:eastAsia="Arial"/>
          <w:color w:val="222222"/>
          <w:sz w:val="22"/>
        </w:rPr>
        <w:t>Sở hữu là quan hệ xã hội về việc chiếm hữu của cải. Quyền sở hữu là quyền của chủ sở hữu đối với tài sản, gồm quyền chiếm hữu, quyền sử dụng và quyền định đoạt.</w:t>
      </w:r>
    </w:p>
    <w:p>
      <w:pPr>
        <w:pStyle w:val="Heading3"/>
      </w:pPr>
      <w:r>
        <w:t>Nội dung</w:t>
      </w:r>
    </w:p>
    <w:p>
      <w:pPr>
        <w:pStyle w:val="ListBullet"/>
        <w:spacing w:after="60"/>
      </w:pPr>
      <w:r>
        <w:rPr>
          <w:rFonts w:ascii="Arial" w:hAnsi="Arial" w:eastAsia="Arial"/>
          <w:color w:val="222222"/>
          <w:sz w:val="22"/>
        </w:rPr>
        <w:t>Chiếm hữu: nắm giữ, chi phối tài sản trực tiếp hoặc gián tiếp.</w:t>
      </w:r>
    </w:p>
    <w:p>
      <w:pPr>
        <w:pStyle w:val="ListBullet"/>
        <w:spacing w:after="60"/>
      </w:pPr>
      <w:r>
        <w:rPr>
          <w:rFonts w:ascii="Arial" w:hAnsi="Arial" w:eastAsia="Arial"/>
          <w:color w:val="222222"/>
          <w:sz w:val="22"/>
        </w:rPr>
        <w:t>Sử dụng: khai thác công dụng, hưởng hoa lợi, lợi tức.</w:t>
      </w:r>
    </w:p>
    <w:p>
      <w:pPr>
        <w:pStyle w:val="ListBullet"/>
        <w:spacing w:after="60"/>
      </w:pPr>
      <w:r>
        <w:rPr>
          <w:rFonts w:ascii="Arial" w:hAnsi="Arial" w:eastAsia="Arial"/>
          <w:color w:val="222222"/>
          <w:sz w:val="22"/>
        </w:rPr>
        <w:t>Định đoạt: chuyển giao quyền sở hữu, từ bỏ quyền sở hữu, tiêu dùng hoặc tiêu hủy tài sản.</w:t>
      </w:r>
    </w:p>
    <w:p>
      <w:pPr>
        <w:pStyle w:val="Heading3"/>
      </w:pPr>
      <w:r>
        <w:t>Căn cứ xác lập và chấm dứt</w:t>
      </w:r>
    </w:p>
    <w:p>
      <w:pPr>
        <w:pStyle w:val="ListBullet"/>
        <w:spacing w:after="60"/>
      </w:pPr>
      <w:r>
        <w:rPr>
          <w:rFonts w:ascii="Arial" w:hAnsi="Arial" w:eastAsia="Arial"/>
          <w:color w:val="222222"/>
          <w:sz w:val="22"/>
        </w:rPr>
        <w:t>Xác lập từ lao động, sản xuất kinh doanh; chuyển giao; thu hoa lợi, lợi tức; tạo vật mới; thừa kế; chiếm hữu theo luật; bản án/quyết định và các căn cứ khác.</w:t>
      </w:r>
    </w:p>
    <w:p>
      <w:pPr>
        <w:pStyle w:val="ListBullet"/>
        <w:spacing w:after="60"/>
      </w:pPr>
      <w:r>
        <w:rPr>
          <w:rFonts w:ascii="Arial" w:hAnsi="Arial" w:eastAsia="Arial"/>
          <w:color w:val="222222"/>
          <w:sz w:val="22"/>
        </w:rPr>
        <w:t>Chấm dứt khi chuyển quyền, từ bỏ, tài sản bị tiêu hủy, xử lý để thực hiện nghĩa vụ, trưng mua, tịch thu hoặc người khác được xác lập quyền theo luật.</w:t>
      </w:r>
    </w:p>
    <w:tbl>
      <w:tblPr>
        <w:tblStyle w:val="TableGrid"/>
        <w:tblW w:type="auto" w:w="0"/>
        <w:jc w:val="center"/>
        <w:tblLayout w:type="fixed"/>
        <w:tblLook w:firstColumn="1" w:firstRow="1" w:lastColumn="0" w:lastRow="0" w:noHBand="0" w:noVBand="1" w:val="04A0"/>
      </w:tblPr>
      <w:tblGrid>
        <w:gridCol w:w="9749"/>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BLDS 2015; chiếm hữu; sử dụng; định đoạt; căn cứ xác lập; căn cứ chấm dứt</w:t>
            </w:r>
          </w:p>
        </w:tc>
      </w:tr>
    </w:tbl>
    <w:p>
      <w:pPr>
        <w:spacing w:after="0"/>
      </w:pPr>
    </w:p>
    <w:p>
      <w:pPr>
        <w:pStyle w:val="Heading2"/>
      </w:pPr>
      <w:r>
        <w:t>Câu 10. Vi phạm pháp luật: khái niệm, dấu hiệu và phân loại</w:t>
      </w:r>
    </w:p>
    <w:p>
      <w:pPr>
        <w:pStyle w:val="Heading3"/>
      </w:pPr>
      <w:r>
        <w:t>Khái niệm</w:t>
      </w:r>
    </w:p>
    <w:p>
      <w:pPr>
        <w:jc w:val="both"/>
      </w:pPr>
      <w:r>
        <w:rPr>
          <w:rFonts w:ascii="Arial" w:hAnsi="Arial" w:eastAsia="Arial"/>
          <w:color w:val="222222"/>
          <w:sz w:val="22"/>
        </w:rPr>
        <w:t>Vi phạm pháp luật là hành vi trái pháp luật, có lỗi, do chủ thể có năng lực trách nhiệm pháp lý thực hiện, xâm hại quan hệ xã hội được pháp luật bảo vệ.</w:t>
      </w:r>
    </w:p>
    <w:p>
      <w:pPr>
        <w:pStyle w:val="Heading3"/>
      </w:pPr>
      <w:r>
        <w:t>Dấu hiệu</w:t>
      </w:r>
    </w:p>
    <w:p>
      <w:pPr>
        <w:pStyle w:val="ListBullet"/>
        <w:spacing w:after="60"/>
      </w:pPr>
      <w:r>
        <w:rPr>
          <w:rFonts w:ascii="Arial" w:hAnsi="Arial" w:eastAsia="Arial"/>
          <w:color w:val="222222"/>
          <w:sz w:val="22"/>
        </w:rPr>
        <w:t>Là hành vi xác định của con người hoặc tổ chức, dưới dạng hành động hoặc không hành động.</w:t>
      </w:r>
    </w:p>
    <w:p>
      <w:pPr>
        <w:pStyle w:val="ListBullet"/>
        <w:spacing w:after="60"/>
      </w:pPr>
      <w:r>
        <w:rPr>
          <w:rFonts w:ascii="Arial" w:hAnsi="Arial" w:eastAsia="Arial"/>
          <w:color w:val="222222"/>
          <w:sz w:val="22"/>
        </w:rPr>
        <w:t>Trái pháp luật và xâm hại quan hệ xã hội được bảo vệ.</w:t>
      </w:r>
    </w:p>
    <w:p>
      <w:pPr>
        <w:pStyle w:val="ListBullet"/>
        <w:spacing w:after="60"/>
      </w:pPr>
      <w:r>
        <w:rPr>
          <w:rFonts w:ascii="Arial" w:hAnsi="Arial" w:eastAsia="Arial"/>
          <w:color w:val="222222"/>
          <w:sz w:val="22"/>
        </w:rPr>
        <w:t>Có lỗi cố ý hoặc vô ý.</w:t>
      </w:r>
    </w:p>
    <w:p>
      <w:pPr>
        <w:pStyle w:val="ListBullet"/>
        <w:spacing w:after="60"/>
      </w:pPr>
      <w:r>
        <w:rPr>
          <w:rFonts w:ascii="Arial" w:hAnsi="Arial" w:eastAsia="Arial"/>
          <w:color w:val="222222"/>
          <w:sz w:val="22"/>
        </w:rPr>
        <w:t>Do chủ thể có năng lực trách nhiệm pháp lý thực hiện.</w:t>
      </w:r>
    </w:p>
    <w:p>
      <w:pPr>
        <w:pStyle w:val="Heading3"/>
      </w:pPr>
      <w:r>
        <w:t>Phân loại</w:t>
      </w:r>
    </w:p>
    <w:p>
      <w:pPr>
        <w:pStyle w:val="ListBullet"/>
        <w:spacing w:after="60"/>
      </w:pPr>
      <w:r>
        <w:rPr>
          <w:rFonts w:ascii="Arial" w:hAnsi="Arial" w:eastAsia="Arial"/>
          <w:color w:val="222222"/>
          <w:sz w:val="22"/>
        </w:rPr>
        <w:t>Vi phạm hình sự (tội phạm).</w:t>
      </w:r>
    </w:p>
    <w:p>
      <w:pPr>
        <w:pStyle w:val="ListBullet"/>
        <w:spacing w:after="60"/>
      </w:pPr>
      <w:r>
        <w:rPr>
          <w:rFonts w:ascii="Arial" w:hAnsi="Arial" w:eastAsia="Arial"/>
          <w:color w:val="222222"/>
          <w:sz w:val="22"/>
        </w:rPr>
        <w:t>Vi phạm hành chính.</w:t>
      </w:r>
    </w:p>
    <w:p>
      <w:pPr>
        <w:pStyle w:val="ListBullet"/>
        <w:spacing w:after="60"/>
      </w:pPr>
      <w:r>
        <w:rPr>
          <w:rFonts w:ascii="Arial" w:hAnsi="Arial" w:eastAsia="Arial"/>
          <w:color w:val="222222"/>
          <w:sz w:val="22"/>
        </w:rPr>
        <w:t>Vi phạm dân sự.</w:t>
      </w:r>
    </w:p>
    <w:p>
      <w:pPr>
        <w:pStyle w:val="ListBullet"/>
        <w:spacing w:after="60"/>
      </w:pPr>
      <w:r>
        <w:rPr>
          <w:rFonts w:ascii="Arial" w:hAnsi="Arial" w:eastAsia="Arial"/>
          <w:color w:val="222222"/>
          <w:sz w:val="22"/>
        </w:rPr>
        <w:t>Vi phạm kỷ luật.</w:t>
      </w:r>
    </w:p>
    <w:p>
      <w:pPr>
        <w:pStyle w:val="ListBullet"/>
        <w:spacing w:after="60"/>
      </w:pPr>
      <w:r>
        <w:rPr>
          <w:rFonts w:ascii="Arial" w:hAnsi="Arial" w:eastAsia="Arial"/>
          <w:color w:val="222222"/>
          <w:sz w:val="22"/>
        </w:rPr>
        <w:t>Một hành vi có thể đồng thời làm phát sinh nhiều loại trách nhiệm pháp lý nếu đủ căn cứ.</w:t>
      </w:r>
    </w:p>
    <w:tbl>
      <w:tblPr>
        <w:tblStyle w:val="TableGrid"/>
        <w:tblW w:type="auto" w:w="0"/>
        <w:jc w:val="center"/>
        <w:tblLayout w:type="fixed"/>
        <w:tblLook w:firstColumn="1" w:firstRow="1" w:lastColumn="0" w:lastRow="0" w:noHBand="0" w:noVBand="1" w:val="04A0"/>
      </w:tblPr>
      <w:tblGrid>
        <w:gridCol w:w="9749"/>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hành vi; trái pháp luật; có lỗi; năng lực trách nhiệm pháp lý; hình sự; hành chính; dân sự; kỷ luật</w:t>
            </w:r>
          </w:p>
        </w:tc>
      </w:tr>
    </w:tbl>
    <w:p>
      <w:pPr>
        <w:spacing w:after="0"/>
      </w:pPr>
    </w:p>
    <w:p>
      <w:pPr>
        <w:pStyle w:val="Heading2"/>
      </w:pPr>
      <w:r>
        <w:t>Câu 11. Thừa kế và thừa kế theo di chúc</w:t>
      </w:r>
    </w:p>
    <w:p>
      <w:pPr>
        <w:pStyle w:val="Heading3"/>
      </w:pPr>
      <w:r>
        <w:t>Khái niệm</w:t>
      </w:r>
    </w:p>
    <w:p>
      <w:pPr>
        <w:jc w:val="both"/>
      </w:pPr>
      <w:r>
        <w:rPr>
          <w:rFonts w:ascii="Arial" w:hAnsi="Arial" w:eastAsia="Arial"/>
          <w:color w:val="222222"/>
          <w:sz w:val="22"/>
        </w:rPr>
        <w:t>Thừa kế là việc chuyển dịch tài sản của người chết cho người còn sống theo di chúc hoặc theo pháp luật. Di chúc là sự thể hiện ý chí của cá nhân nhằm chuyển tài sản của mình cho người khác sau khi chết.</w:t>
      </w:r>
    </w:p>
    <w:p>
      <w:pPr>
        <w:pStyle w:val="Heading3"/>
      </w:pPr>
      <w:r>
        <w:t>Điều kiện di chúc hợp pháp</w:t>
      </w:r>
    </w:p>
    <w:p>
      <w:pPr>
        <w:pStyle w:val="ListBullet"/>
        <w:spacing w:after="60"/>
      </w:pPr>
      <w:r>
        <w:rPr>
          <w:rFonts w:ascii="Arial" w:hAnsi="Arial" w:eastAsia="Arial"/>
          <w:color w:val="222222"/>
          <w:sz w:val="22"/>
        </w:rPr>
        <w:t>Người lập minh mẫn, sáng suốt; không bị lừa dối, đe dọa hoặc cưỡng ép.</w:t>
      </w:r>
    </w:p>
    <w:p>
      <w:pPr>
        <w:pStyle w:val="ListBullet"/>
        <w:spacing w:after="60"/>
      </w:pPr>
      <w:r>
        <w:rPr>
          <w:rFonts w:ascii="Arial" w:hAnsi="Arial" w:eastAsia="Arial"/>
          <w:color w:val="222222"/>
          <w:sz w:val="22"/>
        </w:rPr>
        <w:t>Nội dung không vi phạm điều cấm, không trái đạo đức xã hội; hình thức phù hợp luật.</w:t>
      </w:r>
    </w:p>
    <w:p>
      <w:pPr>
        <w:pStyle w:val="ListBullet"/>
        <w:spacing w:after="60"/>
      </w:pPr>
      <w:r>
        <w:rPr>
          <w:rFonts w:ascii="Arial" w:hAnsi="Arial" w:eastAsia="Arial"/>
          <w:color w:val="222222"/>
          <w:sz w:val="22"/>
        </w:rPr>
        <w:t>Người từ đủ 15 đến dưới 18 tuổi lập bằng văn bản và được cha, mẹ hoặc người giám hộ đồng ý về việc lập di chúc.</w:t>
      </w:r>
    </w:p>
    <w:p>
      <w:pPr>
        <w:pStyle w:val="ListBullet"/>
        <w:spacing w:after="60"/>
      </w:pPr>
      <w:r>
        <w:rPr>
          <w:rFonts w:ascii="Arial" w:hAnsi="Arial" w:eastAsia="Arial"/>
          <w:color w:val="222222"/>
          <w:sz w:val="22"/>
        </w:rPr>
        <w:t>Di chúc miệng chỉ trong tình trạng tính mạng bị đe dọa và phải tuân thủ điều kiện người làm chứng, ghi chép, xác nhận theo luật.</w:t>
      </w:r>
    </w:p>
    <w:p>
      <w:pPr>
        <w:pStyle w:val="Heading3"/>
      </w:pPr>
      <w:r>
        <w:t>Nội dung cần nhớ</w:t>
      </w:r>
    </w:p>
    <w:p>
      <w:pPr>
        <w:pStyle w:val="ListBullet"/>
        <w:spacing w:after="60"/>
      </w:pPr>
      <w:r>
        <w:rPr>
          <w:rFonts w:ascii="Arial" w:hAnsi="Arial" w:eastAsia="Arial"/>
          <w:color w:val="222222"/>
          <w:sz w:val="22"/>
        </w:rPr>
        <w:t>Quyền chỉ định, truất quyền, phân chia di sản, di tặng, dành tài sản thờ cúng và giao nghĩa vụ.</w:t>
      </w:r>
    </w:p>
    <w:p>
      <w:pPr>
        <w:pStyle w:val="ListBullet"/>
        <w:spacing w:after="60"/>
      </w:pPr>
      <w:r>
        <w:rPr>
          <w:rFonts w:ascii="Arial" w:hAnsi="Arial" w:eastAsia="Arial"/>
          <w:color w:val="222222"/>
          <w:sz w:val="22"/>
        </w:rPr>
        <w:t>Người thừa kế không phụ thuộc nội dung di chúc: cha, mẹ, vợ/chồng, con chưa thành niên và con thành niên không có khả năng lao động, trừ trường hợp luật loại trừ.</w:t>
      </w:r>
    </w:p>
    <w:p>
      <w:pPr>
        <w:pStyle w:val="ListBullet"/>
        <w:spacing w:after="60"/>
      </w:pPr>
      <w:r>
        <w:rPr>
          <w:rFonts w:ascii="Arial" w:hAnsi="Arial" w:eastAsia="Arial"/>
          <w:color w:val="222222"/>
          <w:sz w:val="22"/>
        </w:rPr>
        <w:t>BLDS 2015 không còn chế định riêng về di chúc chung của vợ chồng như BLDS 2005.</w:t>
      </w:r>
    </w:p>
    <w:p>
      <w:pPr>
        <w:pStyle w:val="ListBullet"/>
        <w:spacing w:after="60"/>
      </w:pPr>
      <w:r>
        <w:rPr>
          <w:rFonts w:ascii="Arial" w:hAnsi="Arial" w:eastAsia="Arial"/>
          <w:color w:val="222222"/>
          <w:sz w:val="22"/>
        </w:rPr>
        <w:t>Trước khi chia phải xác định tài sản của người chết, tách tài sản chung và thanh toán nghĩa vụ tài sản.</w:t>
      </w:r>
    </w:p>
    <w:tbl>
      <w:tblPr>
        <w:tblStyle w:val="TableGrid"/>
        <w:tblW w:type="auto" w:w="0"/>
        <w:jc w:val="center"/>
        <w:tblLayout w:type="fixed"/>
        <w:tblLook w:firstColumn="1" w:firstRow="1" w:lastColumn="0" w:lastRow="0" w:noHBand="0" w:noVBand="1" w:val="04A0"/>
      </w:tblPr>
      <w:tblGrid>
        <w:gridCol w:w="9749"/>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di sản; thời điểm mở thừa kế; di chúc hợp pháp; người thừa kế bắt buộc; tách tài sản chung; nghĩa vụ tài sản</w:t>
            </w:r>
          </w:p>
        </w:tc>
      </w:tr>
    </w:tbl>
    <w:p>
      <w:pPr>
        <w:spacing w:after="0"/>
      </w:pPr>
    </w:p>
    <w:p>
      <w:pPr>
        <w:pStyle w:val="Heading2"/>
      </w:pPr>
      <w:r>
        <w:t>Câu 12. Luật Lao động: khái niệm, đối tượng và phương pháp điều chỉnh</w:t>
      </w:r>
    </w:p>
    <w:p>
      <w:pPr>
        <w:pStyle w:val="Heading3"/>
      </w:pPr>
      <w:r>
        <w:t>Khái niệm</w:t>
      </w:r>
    </w:p>
    <w:p>
      <w:pPr>
        <w:jc w:val="both"/>
      </w:pPr>
      <w:r>
        <w:rPr>
          <w:rFonts w:ascii="Arial" w:hAnsi="Arial" w:eastAsia="Arial"/>
          <w:color w:val="222222"/>
          <w:sz w:val="22"/>
        </w:rPr>
        <w:t>Luật Lao động là ngành luật điều chỉnh quan hệ lao động giữa người lao động và người sử dụng lao động cùng các quan hệ liên quan trực tiếp.</w:t>
      </w:r>
    </w:p>
    <w:p>
      <w:pPr>
        <w:pStyle w:val="Heading3"/>
      </w:pPr>
      <w:r>
        <w:t>Đối tượng</w:t>
      </w:r>
    </w:p>
    <w:p>
      <w:pPr>
        <w:pStyle w:val="ListBullet"/>
        <w:spacing w:after="60"/>
      </w:pPr>
      <w:r>
        <w:rPr>
          <w:rFonts w:ascii="Arial" w:hAnsi="Arial" w:eastAsia="Arial"/>
          <w:color w:val="222222"/>
          <w:sz w:val="22"/>
        </w:rPr>
        <w:t>Quan hệ phát sinh từ việc làm có trả công, tiền lương và sự quản lý, điều hành, giám sát của một bên.</w:t>
      </w:r>
    </w:p>
    <w:p>
      <w:pPr>
        <w:pStyle w:val="ListBullet"/>
        <w:spacing w:after="60"/>
      </w:pPr>
      <w:r>
        <w:rPr>
          <w:rFonts w:ascii="Arial" w:hAnsi="Arial" w:eastAsia="Arial"/>
          <w:color w:val="222222"/>
          <w:sz w:val="22"/>
        </w:rPr>
        <w:t>Quan hệ việc làm, học nghề, đối thoại, thương lượng tập thể, an toàn vệ sinh lao động, bảo hiểm, đại diện người lao động và giải quyết tranh chấp.</w:t>
      </w:r>
    </w:p>
    <w:p>
      <w:pPr>
        <w:pStyle w:val="Heading3"/>
      </w:pPr>
      <w:r>
        <w:t>Phương pháp</w:t>
      </w:r>
    </w:p>
    <w:p>
      <w:pPr>
        <w:pStyle w:val="ListBullet"/>
        <w:spacing w:after="60"/>
      </w:pPr>
      <w:r>
        <w:rPr>
          <w:rFonts w:ascii="Arial" w:hAnsi="Arial" w:eastAsia="Arial"/>
          <w:color w:val="222222"/>
          <w:sz w:val="22"/>
        </w:rPr>
        <w:t>Thỏa thuận trên cơ sở tự nguyện nhưng phải tuân thủ chuẩn tối thiểu bảo vệ người lao động.</w:t>
      </w:r>
    </w:p>
    <w:p>
      <w:pPr>
        <w:pStyle w:val="ListBullet"/>
        <w:spacing w:after="60"/>
      </w:pPr>
      <w:r>
        <w:rPr>
          <w:rFonts w:ascii="Arial" w:hAnsi="Arial" w:eastAsia="Arial"/>
          <w:color w:val="222222"/>
          <w:sz w:val="22"/>
        </w:rPr>
        <w:t>Quyền quản lý, điều hành của người sử dụng lao động trong giới hạn pháp luật.</w:t>
      </w:r>
    </w:p>
    <w:p>
      <w:pPr>
        <w:pStyle w:val="ListBullet"/>
        <w:spacing w:after="60"/>
      </w:pPr>
      <w:r>
        <w:rPr>
          <w:rFonts w:ascii="Arial" w:hAnsi="Arial" w:eastAsia="Arial"/>
          <w:color w:val="222222"/>
          <w:sz w:val="22"/>
        </w:rPr>
        <w:t>Sự tham gia của tổ chức đại diện người lao động và cơ chế thương lượng tập thể.</w:t>
      </w:r>
    </w:p>
    <w:tbl>
      <w:tblPr>
        <w:tblStyle w:val="TableGrid"/>
        <w:tblW w:type="auto" w:w="0"/>
        <w:jc w:val="center"/>
        <w:tblLayout w:type="fixed"/>
        <w:tblLook w:firstColumn="1" w:firstRow="1" w:lastColumn="0" w:lastRow="0" w:noHBand="0" w:noVBand="1" w:val="04A0"/>
      </w:tblPr>
      <w:tblGrid>
        <w:gridCol w:w="9749"/>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việc làm có trả công; tiền lương; quản lý–điều hành–giám sát; thỏa thuận; chuẩn tối thiểu; đại diện người lao động</w:t>
            </w:r>
          </w:p>
        </w:tc>
      </w:tr>
    </w:tbl>
    <w:p>
      <w:pPr>
        <w:spacing w:after="0"/>
      </w:pPr>
    </w:p>
    <w:p>
      <w:pPr>
        <w:pStyle w:val="Heading2"/>
      </w:pPr>
      <w:r>
        <w:t>Câu 13. Hợp đồng lao động: nhận diện, hình thức và chấm dứt</w:t>
      </w:r>
    </w:p>
    <w:p>
      <w:pPr>
        <w:pStyle w:val="Heading3"/>
      </w:pPr>
      <w:r>
        <w:t>Khái niệm và nhận diện</w:t>
      </w:r>
    </w:p>
    <w:p>
      <w:pPr>
        <w:jc w:val="both"/>
      </w:pPr>
      <w:r>
        <w:rPr>
          <w:rFonts w:ascii="Arial" w:hAnsi="Arial" w:eastAsia="Arial"/>
          <w:color w:val="222222"/>
          <w:sz w:val="22"/>
        </w:rPr>
        <w:t>Hợp đồng lao động là thỏa thuận về việc làm có trả công, tiền lương, điều kiện lao động, quyền và nghĩa vụ của mỗi bên. Dù mang tên khác, nếu có việc làm có trả công và sự quản lý, điều hành, giám sát thì vẫn được coi là hợp đồng lao động.</w:t>
      </w:r>
    </w:p>
    <w:p>
      <w:pPr>
        <w:pStyle w:val="Heading3"/>
      </w:pPr>
      <w:r>
        <w:t>Hình thức và loại hợp đồng</w:t>
      </w:r>
    </w:p>
    <w:p>
      <w:pPr>
        <w:pStyle w:val="ListBullet"/>
        <w:spacing w:after="60"/>
      </w:pPr>
      <w:r>
        <w:rPr>
          <w:rFonts w:ascii="Arial" w:hAnsi="Arial" w:eastAsia="Arial"/>
          <w:color w:val="222222"/>
          <w:sz w:val="22"/>
        </w:rPr>
        <w:t>Thông thường phải bằng văn bản hoặc thông điệp dữ liệu; một số hợp đồng dưới một tháng có thể bằng lời nói, trừ trường hợp luật bắt buộc bằng văn bản.</w:t>
      </w:r>
    </w:p>
    <w:p>
      <w:pPr>
        <w:pStyle w:val="ListBullet"/>
        <w:spacing w:after="60"/>
      </w:pPr>
      <w:r>
        <w:rPr>
          <w:rFonts w:ascii="Arial" w:hAnsi="Arial" w:eastAsia="Arial"/>
          <w:color w:val="222222"/>
          <w:sz w:val="22"/>
        </w:rPr>
        <w:t>Hai loại cơ bản: không xác định thời hạn và xác định thời hạn không quá 36 tháng.</w:t>
      </w:r>
    </w:p>
    <w:p>
      <w:pPr>
        <w:pStyle w:val="Heading3"/>
      </w:pPr>
      <w:r>
        <w:t>Chấm dứt</w:t>
      </w:r>
    </w:p>
    <w:p>
      <w:pPr>
        <w:pStyle w:val="ListBullet"/>
        <w:spacing w:after="60"/>
      </w:pPr>
      <w:r>
        <w:rPr>
          <w:rFonts w:ascii="Arial" w:hAnsi="Arial" w:eastAsia="Arial"/>
          <w:color w:val="222222"/>
          <w:sz w:val="22"/>
        </w:rPr>
        <w:t>Theo thỏa thuận, hết hạn, hoàn thành công việc, đơn phương hợp pháp và các căn cứ luật định.</w:t>
      </w:r>
    </w:p>
    <w:p>
      <w:pPr>
        <w:pStyle w:val="ListBullet"/>
        <w:spacing w:after="60"/>
      </w:pPr>
      <w:r>
        <w:rPr>
          <w:rFonts w:ascii="Arial" w:hAnsi="Arial" w:eastAsia="Arial"/>
          <w:color w:val="222222"/>
          <w:sz w:val="22"/>
        </w:rPr>
        <w:t>Khi đơn phương phải có căn cứ hoặc tuân thủ thời hạn báo trước tùy chủ thể và trường hợp.</w:t>
      </w:r>
    </w:p>
    <w:p>
      <w:pPr>
        <w:pStyle w:val="ListBullet"/>
        <w:spacing w:after="60"/>
      </w:pPr>
      <w:r>
        <w:rPr>
          <w:rFonts w:ascii="Arial" w:hAnsi="Arial" w:eastAsia="Arial"/>
          <w:color w:val="222222"/>
          <w:sz w:val="22"/>
        </w:rPr>
        <w:t>Đơn phương trái pháp luật có thể dẫn đến nghĩa vụ nhận lại làm việc, trả lương, đóng bảo hiểm, bồi thường hoặc hoàn trả chi phí.</w:t>
      </w:r>
    </w:p>
    <w:tbl>
      <w:tblPr>
        <w:tblStyle w:val="TableGrid"/>
        <w:tblW w:type="auto" w:w="0"/>
        <w:jc w:val="center"/>
        <w:tblLayout w:type="fixed"/>
        <w:tblLook w:firstColumn="1" w:firstRow="1" w:lastColumn="0" w:lastRow="0" w:noHBand="0" w:noVBand="1" w:val="04A0"/>
      </w:tblPr>
      <w:tblGrid>
        <w:gridCol w:w="9749"/>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việc làm có trả công; quản lý; hợp đồng bằng văn bản; xác định thời hạn; không xác định thời hạn; đơn phương; báo trước</w:t>
            </w:r>
          </w:p>
        </w:tc>
      </w:tr>
    </w:tbl>
    <w:p>
      <w:pPr>
        <w:spacing w:after="0"/>
      </w:pPr>
    </w:p>
    <w:p>
      <w:pPr>
        <w:pStyle w:val="Heading2"/>
      </w:pPr>
      <w:r>
        <w:t>Câu 14. Tranh chấp lao động và cơ chế giải quyết theo Bộ luật Lao động 2019</w:t>
      </w:r>
    </w:p>
    <w:p>
      <w:pPr>
        <w:pStyle w:val="Heading3"/>
      </w:pPr>
      <w:r>
        <w:t>Khái niệm và phân loại</w:t>
      </w:r>
    </w:p>
    <w:p>
      <w:pPr>
        <w:pStyle w:val="ListBullet"/>
        <w:spacing w:after="60"/>
      </w:pPr>
      <w:r>
        <w:rPr>
          <w:rFonts w:ascii="Arial" w:hAnsi="Arial" w:eastAsia="Arial"/>
          <w:color w:val="222222"/>
          <w:sz w:val="22"/>
        </w:rPr>
        <w:t>Tranh chấp lao động cá nhân giữa người lao động với người sử dụng lao động hoặc chủ thể liên quan.</w:t>
      </w:r>
    </w:p>
    <w:p>
      <w:pPr>
        <w:pStyle w:val="ListBullet"/>
        <w:spacing w:after="60"/>
      </w:pPr>
      <w:r>
        <w:rPr>
          <w:rFonts w:ascii="Arial" w:hAnsi="Arial" w:eastAsia="Arial"/>
          <w:color w:val="222222"/>
          <w:sz w:val="22"/>
        </w:rPr>
        <w:t>Tranh chấp lao động tập thể về quyền.</w:t>
      </w:r>
    </w:p>
    <w:p>
      <w:pPr>
        <w:pStyle w:val="ListBullet"/>
        <w:spacing w:after="60"/>
      </w:pPr>
      <w:r>
        <w:rPr>
          <w:rFonts w:ascii="Arial" w:hAnsi="Arial" w:eastAsia="Arial"/>
          <w:color w:val="222222"/>
          <w:sz w:val="22"/>
        </w:rPr>
        <w:t>Tranh chấp lao động tập thể về lợi ích.</w:t>
      </w:r>
    </w:p>
    <w:p>
      <w:pPr>
        <w:pStyle w:val="Heading3"/>
      </w:pPr>
      <w:r>
        <w:t>Chủ thể có thẩm quyền</w:t>
      </w:r>
    </w:p>
    <w:p>
      <w:pPr>
        <w:pStyle w:val="ListBullet"/>
        <w:spacing w:after="60"/>
      </w:pPr>
      <w:r>
        <w:rPr>
          <w:rFonts w:ascii="Arial" w:hAnsi="Arial" w:eastAsia="Arial"/>
          <w:color w:val="222222"/>
          <w:sz w:val="22"/>
        </w:rPr>
        <w:t>Hòa giải viên lao động.</w:t>
      </w:r>
    </w:p>
    <w:p>
      <w:pPr>
        <w:pStyle w:val="ListBullet"/>
        <w:spacing w:after="60"/>
      </w:pPr>
      <w:r>
        <w:rPr>
          <w:rFonts w:ascii="Arial" w:hAnsi="Arial" w:eastAsia="Arial"/>
          <w:color w:val="222222"/>
          <w:sz w:val="22"/>
        </w:rPr>
        <w:t>Hội đồng trọng tài lao động trong trường hợp luật quy định và các bên lựa chọn.</w:t>
      </w:r>
    </w:p>
    <w:p>
      <w:pPr>
        <w:pStyle w:val="ListBullet"/>
        <w:spacing w:after="60"/>
      </w:pPr>
      <w:r>
        <w:rPr>
          <w:rFonts w:ascii="Arial" w:hAnsi="Arial" w:eastAsia="Arial"/>
          <w:color w:val="222222"/>
          <w:sz w:val="22"/>
        </w:rPr>
        <w:t>Tòa án nhân dân.</w:t>
      </w:r>
    </w:p>
    <w:p>
      <w:pPr>
        <w:pStyle w:val="Heading3"/>
      </w:pPr>
      <w:r>
        <w:t>Trình tự khái quát</w:t>
      </w:r>
    </w:p>
    <w:p>
      <w:pPr>
        <w:pStyle w:val="ListBullet"/>
        <w:spacing w:after="60"/>
      </w:pPr>
      <w:r>
        <w:rPr>
          <w:rFonts w:ascii="Arial" w:hAnsi="Arial" w:eastAsia="Arial"/>
          <w:color w:val="222222"/>
          <w:sz w:val="22"/>
        </w:rPr>
        <w:t>Tranh chấp cá nhân thường phải qua hòa giải viên trước khi yêu cầu trọng tài hoặc Tòa án, trừ các trường hợp được miễn hòa giải như xử lý kỷ luật sa thải, đơn phương chấm dứt, bồi thường khi chấm dứt, bảo hiểm và một số tranh chấp khác.</w:t>
      </w:r>
    </w:p>
    <w:p>
      <w:pPr>
        <w:pStyle w:val="ListBullet"/>
        <w:spacing w:after="60"/>
      </w:pPr>
      <w:r>
        <w:rPr>
          <w:rFonts w:ascii="Arial" w:hAnsi="Arial" w:eastAsia="Arial"/>
          <w:color w:val="222222"/>
          <w:sz w:val="22"/>
        </w:rPr>
        <w:t>Tranh chấp tập thể về quyền: hòa giải → trọng tài hoặc Tòa án theo lựa chọn và điều kiện luật định.</w:t>
      </w:r>
    </w:p>
    <w:p>
      <w:pPr>
        <w:pStyle w:val="ListBullet"/>
        <w:spacing w:after="60"/>
      </w:pPr>
      <w:r>
        <w:rPr>
          <w:rFonts w:ascii="Arial" w:hAnsi="Arial" w:eastAsia="Arial"/>
          <w:color w:val="222222"/>
          <w:sz w:val="22"/>
        </w:rPr>
        <w:t>Tranh chấp tập thể về lợi ích: hòa giải → trọng tài; đình công chỉ có thể đặt ra theo đúng điều kiện và trình tự.</w:t>
      </w:r>
    </w:p>
    <w:p>
      <w:pPr>
        <w:pStyle w:val="ListBullet"/>
        <w:spacing w:after="60"/>
      </w:pPr>
      <w:r>
        <w:rPr>
          <w:rFonts w:ascii="Arial" w:hAnsi="Arial" w:eastAsia="Arial"/>
          <w:color w:val="222222"/>
          <w:sz w:val="22"/>
        </w:rPr>
        <w:t>Không còn dùng mô hình Hội đồng hòa giải cơ sở hoặc Chủ tịch UBND cấp huyện như tài liệu cũ.</w:t>
      </w:r>
    </w:p>
    <w:tbl>
      <w:tblPr>
        <w:tblStyle w:val="TableGrid"/>
        <w:tblW w:type="auto" w:w="0"/>
        <w:jc w:val="center"/>
        <w:tblLayout w:type="fixed"/>
        <w:tblLook w:firstColumn="1" w:firstRow="1" w:lastColumn="0" w:lastRow="0" w:noHBand="0" w:noVBand="1" w:val="04A0"/>
      </w:tblPr>
      <w:tblGrid>
        <w:gridCol w:w="9749"/>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cá nhân; tập thể về quyền; tập thể về lợi ích; hòa giải viên; trọng tài lao động; Tòa án; đình công</w:t>
            </w:r>
          </w:p>
        </w:tc>
      </w:tr>
    </w:tbl>
    <w:p>
      <w:pPr>
        <w:spacing w:after="0"/>
      </w:pPr>
    </w:p>
    <w:p>
      <w:pPr>
        <w:pStyle w:val="Heading2"/>
      </w:pPr>
      <w:r>
        <w:t>Câu 15. Luật Hành chính: khái niệm, đối tượng và phương pháp điều chỉnh</w:t>
      </w:r>
    </w:p>
    <w:p>
      <w:pPr>
        <w:pStyle w:val="Heading3"/>
      </w:pPr>
      <w:r>
        <w:t>Khái niệm</w:t>
      </w:r>
    </w:p>
    <w:p>
      <w:pPr>
        <w:jc w:val="both"/>
      </w:pPr>
      <w:r>
        <w:rPr>
          <w:rFonts w:ascii="Arial" w:hAnsi="Arial" w:eastAsia="Arial"/>
          <w:color w:val="222222"/>
          <w:sz w:val="22"/>
        </w:rPr>
        <w:t>Luật Hành chính là ngành luật điều chỉnh các quan hệ xã hội phát sinh trong hoạt động quản lý hành chính nhà nước và những quan hệ quản lý khác được pháp luật giao.</w:t>
      </w:r>
    </w:p>
    <w:p>
      <w:pPr>
        <w:pStyle w:val="Heading3"/>
      </w:pPr>
      <w:r>
        <w:t>Đối tượng</w:t>
      </w:r>
    </w:p>
    <w:p>
      <w:pPr>
        <w:pStyle w:val="ListBullet"/>
        <w:spacing w:after="60"/>
      </w:pPr>
      <w:r>
        <w:rPr>
          <w:rFonts w:ascii="Arial" w:hAnsi="Arial" w:eastAsia="Arial"/>
          <w:color w:val="222222"/>
          <w:sz w:val="22"/>
        </w:rPr>
        <w:t>Quan hệ giữa cơ quan hành chính với cá nhân, tổ chức.</w:t>
      </w:r>
    </w:p>
    <w:p>
      <w:pPr>
        <w:pStyle w:val="ListBullet"/>
        <w:spacing w:after="60"/>
      </w:pPr>
      <w:r>
        <w:rPr>
          <w:rFonts w:ascii="Arial" w:hAnsi="Arial" w:eastAsia="Arial"/>
          <w:color w:val="222222"/>
          <w:sz w:val="22"/>
        </w:rPr>
        <w:t>Quan hệ tổ chức và hoạt động nội bộ của cơ quan nhà nước.</w:t>
      </w:r>
    </w:p>
    <w:p>
      <w:pPr>
        <w:pStyle w:val="ListBullet"/>
        <w:spacing w:after="60"/>
      </w:pPr>
      <w:r>
        <w:rPr>
          <w:rFonts w:ascii="Arial" w:hAnsi="Arial" w:eastAsia="Arial"/>
          <w:color w:val="222222"/>
          <w:sz w:val="22"/>
        </w:rPr>
        <w:t>Quan hệ khi cơ quan, tổ chức hoặc cá nhân được trao quyền quản lý hành chính.</w:t>
      </w:r>
    </w:p>
    <w:p>
      <w:pPr>
        <w:pStyle w:val="Heading3"/>
      </w:pPr>
      <w:r>
        <w:t>Phương pháp</w:t>
      </w:r>
    </w:p>
    <w:p>
      <w:pPr>
        <w:jc w:val="both"/>
      </w:pPr>
      <w:r>
        <w:rPr>
          <w:rFonts w:ascii="Arial" w:hAnsi="Arial" w:eastAsia="Arial"/>
          <w:color w:val="222222"/>
          <w:sz w:val="22"/>
        </w:rPr>
        <w:t>Phương pháp quyền lực – phục tùng là chủ yếu: một bên nhân danh quyền lực nhà nước có quyền đưa ra quyết định đơn phương trong phạm vi thẩm quyền; bên kia có nghĩa vụ chấp hành và có quyền khiếu nại, khởi kiện khi quyết định hoặc hành vi trái pháp luật.</w:t>
      </w:r>
    </w:p>
    <w:tbl>
      <w:tblPr>
        <w:tblStyle w:val="TableGrid"/>
        <w:tblW w:type="auto" w:w="0"/>
        <w:jc w:val="center"/>
        <w:tblLayout w:type="fixed"/>
        <w:tblLook w:firstColumn="1" w:firstRow="1" w:lastColumn="0" w:lastRow="0" w:noHBand="0" w:noVBand="1" w:val="04A0"/>
      </w:tblPr>
      <w:tblGrid>
        <w:gridCol w:w="9749"/>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quản lý hành chính; quyền lực–phục tùng; quyết định đơn phương; thẩm quyền; khiếu nại; khởi kiện</w:t>
            </w:r>
          </w:p>
        </w:tc>
      </w:tr>
    </w:tbl>
    <w:p>
      <w:pPr>
        <w:spacing w:after="0"/>
      </w:pPr>
    </w:p>
    <w:p>
      <w:pPr>
        <w:pStyle w:val="Heading2"/>
      </w:pPr>
      <w:r>
        <w:t>Câu 16. Tội phạm: khái niệm, dấu hiệu và phân loại</w:t>
      </w:r>
    </w:p>
    <w:p>
      <w:pPr>
        <w:pStyle w:val="Heading3"/>
      </w:pPr>
      <w:r>
        <w:t>Khái niệm</w:t>
      </w:r>
    </w:p>
    <w:p>
      <w:pPr>
        <w:jc w:val="both"/>
      </w:pPr>
      <w:r>
        <w:rPr>
          <w:rFonts w:ascii="Arial" w:hAnsi="Arial" w:eastAsia="Arial"/>
          <w:color w:val="222222"/>
          <w:sz w:val="22"/>
        </w:rPr>
        <w:t>Tội phạm là hành vi nguy hiểm cho xã hội được quy định trong Bộ luật Hình sự, do người có năng lực trách nhiệm hình sự hoặc pháp nhân thương mại thực hiện một cách cố ý hoặc vô ý, xâm phạm các quan hệ được luật hình sự bảo vệ và phải bị xử lý hình sự.</w:t>
      </w:r>
    </w:p>
    <w:p>
      <w:pPr>
        <w:pStyle w:val="Heading3"/>
      </w:pPr>
      <w:r>
        <w:t>Dấu hiệu</w:t>
      </w:r>
    </w:p>
    <w:p>
      <w:pPr>
        <w:pStyle w:val="ListBullet"/>
        <w:spacing w:after="60"/>
      </w:pPr>
      <w:r>
        <w:rPr>
          <w:rFonts w:ascii="Arial" w:hAnsi="Arial" w:eastAsia="Arial"/>
          <w:color w:val="222222"/>
          <w:sz w:val="22"/>
        </w:rPr>
        <w:t>Tính nguy hiểm đáng kể cho xã hội.</w:t>
      </w:r>
    </w:p>
    <w:p>
      <w:pPr>
        <w:pStyle w:val="ListBullet"/>
        <w:spacing w:after="60"/>
      </w:pPr>
      <w:r>
        <w:rPr>
          <w:rFonts w:ascii="Arial" w:hAnsi="Arial" w:eastAsia="Arial"/>
          <w:color w:val="222222"/>
          <w:sz w:val="22"/>
        </w:rPr>
        <w:t>Tính có lỗi.</w:t>
      </w:r>
    </w:p>
    <w:p>
      <w:pPr>
        <w:pStyle w:val="ListBullet"/>
        <w:spacing w:after="60"/>
      </w:pPr>
      <w:r>
        <w:rPr>
          <w:rFonts w:ascii="Arial" w:hAnsi="Arial" w:eastAsia="Arial"/>
          <w:color w:val="222222"/>
          <w:sz w:val="22"/>
        </w:rPr>
        <w:t>Tính trái pháp luật hình sự.</w:t>
      </w:r>
    </w:p>
    <w:p>
      <w:pPr>
        <w:pStyle w:val="ListBullet"/>
        <w:spacing w:after="60"/>
      </w:pPr>
      <w:r>
        <w:rPr>
          <w:rFonts w:ascii="Arial" w:hAnsi="Arial" w:eastAsia="Arial"/>
          <w:color w:val="222222"/>
          <w:sz w:val="22"/>
        </w:rPr>
        <w:t>Tính phải chịu hình phạt hoặc biện pháp hình sự.</w:t>
      </w:r>
    </w:p>
    <w:p>
      <w:pPr>
        <w:pStyle w:val="ListBullet"/>
        <w:spacing w:after="60"/>
      </w:pPr>
      <w:r>
        <w:rPr>
          <w:rFonts w:ascii="Arial" w:hAnsi="Arial" w:eastAsia="Arial"/>
          <w:color w:val="222222"/>
          <w:sz w:val="22"/>
        </w:rPr>
        <w:t>Chủ thể có năng lực trách nhiệm hình sự; pháp nhân thương mại chỉ chịu trách nhiệm về các tội được liệt kê.</w:t>
      </w:r>
    </w:p>
    <w:p>
      <w:pPr>
        <w:pStyle w:val="Heading3"/>
      </w:pPr>
      <w:r>
        <w:t>Độ tuổi và phân loại</w:t>
      </w:r>
    </w:p>
    <w:p>
      <w:pPr>
        <w:pStyle w:val="ListBullet"/>
        <w:spacing w:after="60"/>
      </w:pPr>
      <w:r>
        <w:rPr>
          <w:rFonts w:ascii="Arial" w:hAnsi="Arial" w:eastAsia="Arial"/>
          <w:color w:val="222222"/>
          <w:sz w:val="22"/>
        </w:rPr>
        <w:t>Từ đủ 16 tuổi chịu trách nhiệm về mọi tội, trừ trường hợp luật có quy định khác.</w:t>
      </w:r>
    </w:p>
    <w:p>
      <w:pPr>
        <w:pStyle w:val="ListBullet"/>
        <w:spacing w:after="60"/>
      </w:pPr>
      <w:r>
        <w:rPr>
          <w:rFonts w:ascii="Arial" w:hAnsi="Arial" w:eastAsia="Arial"/>
          <w:color w:val="222222"/>
          <w:sz w:val="22"/>
        </w:rPr>
        <w:t>Từ đủ 14 đến dưới 16 tuổi chỉ chịu trách nhiệm về những tội được liệt kê cụ thể tại Điều 12 BLHS; không dùng công thức cũ “mọi tội rất nghiêm trọng do cố ý”.</w:t>
      </w:r>
    </w:p>
    <w:p>
      <w:pPr>
        <w:pStyle w:val="ListBullet"/>
        <w:spacing w:after="60"/>
      </w:pPr>
      <w:r>
        <w:rPr>
          <w:rFonts w:ascii="Arial" w:hAnsi="Arial" w:eastAsia="Arial"/>
          <w:color w:val="222222"/>
          <w:sz w:val="22"/>
        </w:rPr>
        <w:t>Bốn loại: ít nghiêm trọng, nghiêm trọng, rất nghiêm trọng và đặc biệt nghiêm trọng, căn cứ tính chất nguy hiểm và mức cao nhất của khung hình phạt.</w:t>
      </w:r>
    </w:p>
    <w:tbl>
      <w:tblPr>
        <w:tblStyle w:val="TableGrid"/>
        <w:tblW w:type="auto" w:w="0"/>
        <w:jc w:val="center"/>
        <w:tblLayout w:type="fixed"/>
        <w:tblLook w:firstColumn="1" w:firstRow="1" w:lastColumn="0" w:lastRow="0" w:noHBand="0" w:noVBand="1" w:val="04A0"/>
      </w:tblPr>
      <w:tblGrid>
        <w:gridCol w:w="9749"/>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nguy hiểm cho xã hội; có lỗi; trái BLHS; chịu hình phạt; năng lực TNHS; Điều 12; bốn loại tội phạm</w:t>
            </w:r>
          </w:p>
        </w:tc>
      </w:tr>
    </w:tbl>
    <w:p>
      <w:pPr>
        <w:spacing w:after="0"/>
      </w:pPr>
    </w:p>
    <w:p>
      <w:pPr>
        <w:pStyle w:val="Heading2"/>
      </w:pPr>
      <w:r>
        <w:t>Câu 17. Tố cáo: khái niệm, đặc điểm, thẩm quyền và thủ tục</w:t>
      </w:r>
    </w:p>
    <w:p>
      <w:pPr>
        <w:pStyle w:val="Heading3"/>
      </w:pPr>
      <w:r>
        <w:t>Khái niệm</w:t>
      </w:r>
    </w:p>
    <w:p>
      <w:pPr>
        <w:jc w:val="both"/>
      </w:pPr>
      <w:r>
        <w:rPr>
          <w:rFonts w:ascii="Arial" w:hAnsi="Arial" w:eastAsia="Arial"/>
          <w:color w:val="222222"/>
          <w:sz w:val="22"/>
        </w:rPr>
        <w:t>Tố cáo là việc cá nhân theo thủ tục luật định báo cho cơ quan, tổ chức hoặc cá nhân có thẩm quyền biết về hành vi vi phạm pháp luật gây thiệt hại hoặc đe dọa gây thiệt hại đến lợi ích Nhà nước, quyền và lợi ích hợp pháp của cơ quan, tổ chức, cá nhân.</w:t>
      </w:r>
    </w:p>
    <w:p>
      <w:pPr>
        <w:pStyle w:val="Heading3"/>
      </w:pPr>
      <w:r>
        <w:t>Đặc điểm</w:t>
      </w:r>
    </w:p>
    <w:p>
      <w:pPr>
        <w:pStyle w:val="ListBullet"/>
        <w:spacing w:after="60"/>
      </w:pPr>
      <w:r>
        <w:rPr>
          <w:rFonts w:ascii="Arial" w:hAnsi="Arial" w:eastAsia="Arial"/>
          <w:color w:val="222222"/>
          <w:sz w:val="22"/>
        </w:rPr>
        <w:t>Chủ thể tố cáo là cá nhân.</w:t>
      </w:r>
    </w:p>
    <w:p>
      <w:pPr>
        <w:pStyle w:val="ListBullet"/>
        <w:spacing w:after="60"/>
      </w:pPr>
      <w:r>
        <w:rPr>
          <w:rFonts w:ascii="Arial" w:hAnsi="Arial" w:eastAsia="Arial"/>
          <w:color w:val="222222"/>
          <w:sz w:val="22"/>
        </w:rPr>
        <w:t>Đối tượng là hành vi vi phạm pháp luật trong thực hiện nhiệm vụ, công vụ hoặc hành vi vi phạm về quản lý nhà nước trong các lĩnh vực.</w:t>
      </w:r>
    </w:p>
    <w:p>
      <w:pPr>
        <w:pStyle w:val="ListBullet"/>
        <w:spacing w:after="60"/>
      </w:pPr>
      <w:r>
        <w:rPr>
          <w:rFonts w:ascii="Arial" w:hAnsi="Arial" w:eastAsia="Arial"/>
          <w:color w:val="222222"/>
          <w:sz w:val="22"/>
        </w:rPr>
        <w:t>Khác khiếu nại: khiếu nại nhằm bảo vệ trực tiếp quyền, lợi ích của người khiếu nại trước quyết định/hành vi hành chính hoặc kỷ luật.</w:t>
      </w:r>
    </w:p>
    <w:p>
      <w:pPr>
        <w:pStyle w:val="Heading3"/>
      </w:pPr>
      <w:r>
        <w:t>Thẩm quyền và thủ tục</w:t>
      </w:r>
    </w:p>
    <w:p>
      <w:pPr>
        <w:pStyle w:val="ListBullet"/>
        <w:spacing w:after="60"/>
      </w:pPr>
      <w:r>
        <w:rPr>
          <w:rFonts w:ascii="Arial" w:hAnsi="Arial" w:eastAsia="Arial"/>
          <w:color w:val="222222"/>
          <w:sz w:val="22"/>
        </w:rPr>
        <w:t>Nguyên tắc chung: người đứng đầu cơ quan, tổ chức có thẩm quyền quản lý người bị tố cáo giải quyết; trường hợp khác theo luật chuyên ngành.</w:t>
      </w:r>
    </w:p>
    <w:p>
      <w:pPr>
        <w:pStyle w:val="ListBullet"/>
        <w:spacing w:after="60"/>
      </w:pPr>
      <w:r>
        <w:rPr>
          <w:rFonts w:ascii="Arial" w:hAnsi="Arial" w:eastAsia="Arial"/>
          <w:color w:val="222222"/>
          <w:sz w:val="22"/>
        </w:rPr>
        <w:t>Trình tự: tiếp nhận, xử lý ban đầu → thụ lý → xác minh → kết luận nội dung → xử lý kết luận.</w:t>
      </w:r>
    </w:p>
    <w:p>
      <w:pPr>
        <w:pStyle w:val="ListBullet"/>
        <w:spacing w:after="60"/>
      </w:pPr>
      <w:r>
        <w:rPr>
          <w:rFonts w:ascii="Arial" w:hAnsi="Arial" w:eastAsia="Arial"/>
          <w:color w:val="222222"/>
          <w:sz w:val="22"/>
        </w:rPr>
        <w:t>Thời hạn thông thường không quá 30 ngày từ ngày thụ lý; vụ việc phức tạp có thể gia hạn theo luật.</w:t>
      </w:r>
    </w:p>
    <w:p>
      <w:pPr>
        <w:pStyle w:val="ListBullet"/>
        <w:spacing w:after="60"/>
      </w:pPr>
      <w:r>
        <w:rPr>
          <w:rFonts w:ascii="Arial" w:hAnsi="Arial" w:eastAsia="Arial"/>
          <w:color w:val="222222"/>
          <w:sz w:val="22"/>
        </w:rPr>
        <w:t>Thông tin không rõ họ tên, địa chỉ không xử lý theo thủ tục tố cáo; nhưng nếu nội dung rõ, có tài liệu cụ thể và cơ sở kiểm tra thì có thể được chuyển để thanh tra, kiểm tra.</w:t>
      </w:r>
    </w:p>
    <w:tbl>
      <w:tblPr>
        <w:tblStyle w:val="TableGrid"/>
        <w:tblW w:type="auto" w:w="0"/>
        <w:jc w:val="center"/>
        <w:tblLayout w:type="fixed"/>
        <w:tblLook w:firstColumn="1" w:firstRow="1" w:lastColumn="0" w:lastRow="0" w:noHBand="0" w:noVBand="1" w:val="04A0"/>
      </w:tblPr>
      <w:tblGrid>
        <w:gridCol w:w="9749"/>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cá nhân; hành vi vi phạm; phân biệt khiếu nại; thụ lý; xác minh; kết luận; 30 ngày; bảo vệ người tố cáo</w:t>
            </w:r>
          </w:p>
        </w:tc>
      </w:tr>
    </w:tbl>
    <w:p>
      <w:pPr>
        <w:spacing w:after="0"/>
      </w:pPr>
    </w:p>
    <w:p>
      <w:pPr>
        <w:pStyle w:val="Heading2"/>
      </w:pPr>
      <w:r>
        <w:t>Câu 18. Luật Hôn nhân và gia đình và các nguyên tắc cơ bản</w:t>
      </w:r>
    </w:p>
    <w:p>
      <w:pPr>
        <w:pStyle w:val="Heading3"/>
      </w:pPr>
      <w:r>
        <w:t>Khái niệm</w:t>
      </w:r>
    </w:p>
    <w:p>
      <w:pPr>
        <w:jc w:val="both"/>
      </w:pPr>
      <w:r>
        <w:rPr>
          <w:rFonts w:ascii="Arial" w:hAnsi="Arial" w:eastAsia="Arial"/>
          <w:color w:val="222222"/>
          <w:sz w:val="22"/>
        </w:rPr>
        <w:t>Luật Hôn nhân và gia đình là ngành luật điều chỉnh quan hệ nhân thân và tài sản giữa vợ chồng, cha mẹ và con, cùng các thành viên gia đình.</w:t>
      </w:r>
    </w:p>
    <w:p>
      <w:pPr>
        <w:pStyle w:val="Heading3"/>
      </w:pPr>
      <w:r>
        <w:t>Nguyên tắc theo Luật năm 2014</w:t>
      </w:r>
    </w:p>
    <w:p>
      <w:pPr>
        <w:pStyle w:val="ListBullet"/>
        <w:spacing w:after="60"/>
      </w:pPr>
      <w:r>
        <w:rPr>
          <w:rFonts w:ascii="Arial" w:hAnsi="Arial" w:eastAsia="Arial"/>
          <w:color w:val="222222"/>
          <w:sz w:val="22"/>
        </w:rPr>
        <w:t>Hôn nhân tự nguyện, tiến bộ, một vợ một chồng, vợ chồng bình đẳng.</w:t>
      </w:r>
    </w:p>
    <w:p>
      <w:pPr>
        <w:pStyle w:val="ListBullet"/>
        <w:spacing w:after="60"/>
      </w:pPr>
      <w:r>
        <w:rPr>
          <w:rFonts w:ascii="Arial" w:hAnsi="Arial" w:eastAsia="Arial"/>
          <w:color w:val="222222"/>
          <w:sz w:val="22"/>
        </w:rPr>
        <w:t>Hôn nhân giữa công dân thuộc các dân tộc, tôn giáo; giữa người có và không có tôn giáo; giữa công dân Việt Nam với người nước ngoài được tôn trọng và bảo vệ.</w:t>
      </w:r>
    </w:p>
    <w:p>
      <w:pPr>
        <w:pStyle w:val="ListBullet"/>
        <w:spacing w:after="60"/>
      </w:pPr>
      <w:r>
        <w:rPr>
          <w:rFonts w:ascii="Arial" w:hAnsi="Arial" w:eastAsia="Arial"/>
          <w:color w:val="222222"/>
          <w:sz w:val="22"/>
        </w:rPr>
        <w:t>Xây dựng gia đình ấm no, tiến bộ, hạnh phúc; các thành viên tôn trọng, quan tâm, chăm sóc, giúp đỡ nhau.</w:t>
      </w:r>
    </w:p>
    <w:p>
      <w:pPr>
        <w:pStyle w:val="ListBullet"/>
        <w:spacing w:after="60"/>
      </w:pPr>
      <w:r>
        <w:rPr>
          <w:rFonts w:ascii="Arial" w:hAnsi="Arial" w:eastAsia="Arial"/>
          <w:color w:val="222222"/>
          <w:sz w:val="22"/>
        </w:rPr>
        <w:t>Không phân biệt đối xử giữa các con; bảo vệ trẻ em, người cao tuổi, người khuyết tật và người mẹ.</w:t>
      </w:r>
    </w:p>
    <w:p>
      <w:pPr>
        <w:pStyle w:val="ListBullet"/>
        <w:spacing w:after="60"/>
      </w:pPr>
      <w:r>
        <w:rPr>
          <w:rFonts w:ascii="Arial" w:hAnsi="Arial" w:eastAsia="Arial"/>
          <w:color w:val="222222"/>
          <w:sz w:val="22"/>
        </w:rPr>
        <w:t>Kế thừa, phát huy truyền thống tốt đẹp; xóa bỏ phong tục, tập quán lạc hậu.</w:t>
      </w:r>
    </w:p>
    <w:p>
      <w:pPr>
        <w:pStyle w:val="Heading3"/>
      </w:pPr>
      <w:r>
        <w:t>Lưu ý</w:t>
      </w:r>
    </w:p>
    <w:p>
      <w:pPr>
        <w:jc w:val="both"/>
      </w:pPr>
      <w:r>
        <w:rPr>
          <w:rFonts w:ascii="Arial" w:hAnsi="Arial" w:eastAsia="Arial"/>
          <w:color w:val="222222"/>
          <w:sz w:val="22"/>
        </w:rPr>
        <w:t>Nam, nữ chung sống như vợ chồng mà không đăng ký kết hôn thì không phát sinh quyền, nghĩa vụ giữa vợ và chồng; tài sản và con chung được giải quyết theo quy định tương ứng.</w:t>
      </w:r>
    </w:p>
    <w:tbl>
      <w:tblPr>
        <w:tblStyle w:val="TableGrid"/>
        <w:tblW w:type="auto" w:w="0"/>
        <w:jc w:val="center"/>
        <w:tblLayout w:type="fixed"/>
        <w:tblLook w:firstColumn="1" w:firstRow="1" w:lastColumn="0" w:lastRow="0" w:noHBand="0" w:noVBand="1" w:val="04A0"/>
      </w:tblPr>
      <w:tblGrid>
        <w:gridCol w:w="9749"/>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tự nguyện; tiến bộ; một vợ một chồng; bình đẳng; đăng ký kết hôn; bảo vệ thành viên yếu thế</w:t>
            </w:r>
          </w:p>
        </w:tc>
      </w:tr>
    </w:tbl>
    <w:p>
      <w:pPr>
        <w:spacing w:after="0"/>
      </w:pPr>
    </w:p>
    <w:p>
      <w:pPr>
        <w:pStyle w:val="Heading2"/>
      </w:pPr>
      <w:r>
        <w:t>Câu 19. Nội dung cơ bản của Hiến pháp năm 2013 và cập nhật năm 2025</w:t>
      </w:r>
    </w:p>
    <w:p>
      <w:pPr>
        <w:pStyle w:val="Heading3"/>
      </w:pPr>
      <w:r>
        <w:t>Vị trí</w:t>
      </w:r>
    </w:p>
    <w:p>
      <w:pPr>
        <w:jc w:val="both"/>
      </w:pPr>
      <w:r>
        <w:rPr>
          <w:rFonts w:ascii="Arial" w:hAnsi="Arial" w:eastAsia="Arial"/>
          <w:color w:val="222222"/>
          <w:sz w:val="22"/>
        </w:rPr>
        <w:t>Hiến pháp là luật cơ bản, có hiệu lực pháp lý cao nhất. Mọi văn bản pháp luật khác phải phù hợp với Hiến pháp; mọi hành vi vi phạm Hiến pháp phải bị xử lý.</w:t>
      </w:r>
    </w:p>
    <w:p>
      <w:pPr>
        <w:pStyle w:val="Heading3"/>
      </w:pPr>
      <w:r>
        <w:t>Các nhóm nội dung</w:t>
      </w:r>
    </w:p>
    <w:p>
      <w:pPr>
        <w:pStyle w:val="ListBullet"/>
        <w:spacing w:after="60"/>
      </w:pPr>
      <w:r>
        <w:rPr>
          <w:rFonts w:ascii="Arial" w:hAnsi="Arial" w:eastAsia="Arial"/>
          <w:color w:val="222222"/>
          <w:sz w:val="22"/>
        </w:rPr>
        <w:t>Chế độ chính trị; bản chất Nhà nước; chủ quyền Nhân dân; vai trò lãnh đạo của Đảng.</w:t>
      </w:r>
    </w:p>
    <w:p>
      <w:pPr>
        <w:pStyle w:val="ListBullet"/>
        <w:spacing w:after="60"/>
      </w:pPr>
      <w:r>
        <w:rPr>
          <w:rFonts w:ascii="Arial" w:hAnsi="Arial" w:eastAsia="Arial"/>
          <w:color w:val="222222"/>
          <w:sz w:val="22"/>
        </w:rPr>
        <w:t>Quyền con người, quyền và nghĩa vụ cơ bản của công dân.</w:t>
      </w:r>
    </w:p>
    <w:p>
      <w:pPr>
        <w:pStyle w:val="ListBullet"/>
        <w:spacing w:after="60"/>
      </w:pPr>
      <w:r>
        <w:rPr>
          <w:rFonts w:ascii="Arial" w:hAnsi="Arial" w:eastAsia="Arial"/>
          <w:color w:val="222222"/>
          <w:sz w:val="22"/>
        </w:rPr>
        <w:t>Kinh tế, xã hội, văn hóa, giáo dục, khoa học, công nghệ và môi trường.</w:t>
      </w:r>
    </w:p>
    <w:p>
      <w:pPr>
        <w:pStyle w:val="ListBullet"/>
        <w:spacing w:after="60"/>
      </w:pPr>
      <w:r>
        <w:rPr>
          <w:rFonts w:ascii="Arial" w:hAnsi="Arial" w:eastAsia="Arial"/>
          <w:color w:val="222222"/>
          <w:sz w:val="22"/>
        </w:rPr>
        <w:t>Bảo vệ Tổ quốc.</w:t>
      </w:r>
    </w:p>
    <w:p>
      <w:pPr>
        <w:pStyle w:val="ListBullet"/>
        <w:spacing w:after="60"/>
      </w:pPr>
      <w:r>
        <w:rPr>
          <w:rFonts w:ascii="Arial" w:hAnsi="Arial" w:eastAsia="Arial"/>
          <w:color w:val="222222"/>
          <w:sz w:val="22"/>
        </w:rPr>
        <w:t>Tổ chức bộ máy nhà nước: Quốc hội, Chủ tịch nước, Chính phủ, Tòa án, Viện kiểm sát, chính quyền địa phương, Hội đồng bầu cử quốc gia và Kiểm toán nhà nước.</w:t>
      </w:r>
    </w:p>
    <w:p>
      <w:pPr>
        <w:pStyle w:val="ListBullet"/>
        <w:spacing w:after="60"/>
      </w:pPr>
      <w:r>
        <w:rPr>
          <w:rFonts w:ascii="Arial" w:hAnsi="Arial" w:eastAsia="Arial"/>
          <w:color w:val="222222"/>
          <w:sz w:val="22"/>
        </w:rPr>
        <w:t>Hiệu lực và thủ tục sửa đổi Hiến pháp.</w:t>
      </w:r>
    </w:p>
    <w:p>
      <w:pPr>
        <w:pStyle w:val="Heading3"/>
      </w:pPr>
      <w:r>
        <w:t>Cập nhật cần nhớ</w:t>
      </w:r>
    </w:p>
    <w:p>
      <w:pPr>
        <w:pStyle w:val="ListBullet"/>
        <w:spacing w:after="60"/>
      </w:pPr>
      <w:r>
        <w:rPr>
          <w:rFonts w:ascii="Arial" w:hAnsi="Arial" w:eastAsia="Arial"/>
          <w:color w:val="222222"/>
          <w:sz w:val="22"/>
        </w:rPr>
        <w:t>Năm 2025, một số điều của Hiến pháp được sửa đổi, bổ sung để phù hợp việc sắp xếp tổ chức bộ máy, củng cố vai trò của Mặt trận Tổ quốc Việt Nam và tổ chức chính quyền địa phương theo mô hình hai cấp.</w:t>
      </w:r>
    </w:p>
    <w:p>
      <w:pPr>
        <w:pStyle w:val="ListBullet"/>
        <w:spacing w:after="60"/>
      </w:pPr>
      <w:r>
        <w:rPr>
          <w:rFonts w:ascii="Arial" w:hAnsi="Arial" w:eastAsia="Arial"/>
          <w:color w:val="222222"/>
          <w:sz w:val="22"/>
        </w:rPr>
        <w:t>Khi trả lời đề thi, cần xác định giảng viên yêu cầu phân tích bản gốc năm 2013 hay nội dung hiện hành sau sửa đổi.</w:t>
      </w:r>
    </w:p>
    <w:tbl>
      <w:tblPr>
        <w:tblStyle w:val="TableGrid"/>
        <w:tblW w:type="auto" w:w="0"/>
        <w:jc w:val="center"/>
        <w:tblLayout w:type="fixed"/>
        <w:tblLook w:firstColumn="1" w:firstRow="1" w:lastColumn="0" w:lastRow="0" w:noHBand="0" w:noVBand="1" w:val="04A0"/>
      </w:tblPr>
      <w:tblGrid>
        <w:gridCol w:w="9749"/>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luật cơ bản; hiệu lực cao nhất; quyền con người; tổ chức bộ máy; kiểm soát quyền lực; sửa đổi 2025; chính quyền hai cấp</w:t>
            </w:r>
          </w:p>
        </w:tc>
      </w:tr>
    </w:tbl>
    <w:p>
      <w:pPr>
        <w:spacing w:after="0"/>
      </w:pPr>
    </w:p>
    <w:p>
      <w:r>
        <w:br w:type="page"/>
      </w:r>
    </w:p>
    <w:p>
      <w:pPr>
        <w:pStyle w:val="Heading1"/>
      </w:pPr>
      <w:r>
        <w:t>PHẦN II. BẢNG GHI NHỚ NHANH</w:t>
      </w:r>
    </w:p>
    <w:p>
      <w:pPr>
        <w:pStyle w:val="Heading2"/>
      </w:pPr>
      <w:r>
        <w:t>1. Phân biệt quy phạm pháp luật – điều luật – văn bản QPPL</w:t>
      </w:r>
    </w:p>
    <w:tbl>
      <w:tblPr>
        <w:tblStyle w:val="TableGrid"/>
        <w:tblW w:type="auto" w:w="0"/>
        <w:jc w:val="center"/>
        <w:tblLayout w:type="fixed"/>
        <w:tblLook w:firstColumn="1" w:firstRow="1" w:lastColumn="0" w:lastRow="0" w:noHBand="0" w:noVBand="1" w:val="04A0"/>
      </w:tblPr>
      <w:tblGrid>
        <w:gridCol w:w="2437"/>
        <w:gridCol w:w="2437"/>
        <w:gridCol w:w="2437"/>
        <w:gridCol w:w="2437"/>
      </w:tblGrid>
      <w:tr>
        <w:trPr>
          <w:tblHeader w:val="true"/>
        </w:trPr>
        <w:tc>
          <w:tcPr>
            <w:tcW w:type="dxa" w:w="1512"/>
            <w:shd w:fill="1F4E79"/>
            <w:tcMar>
              <w:top w:w="100" w:type="dxa"/>
              <w:start w:w="120" w:type="dxa"/>
              <w:bottom w:w="100" w:type="dxa"/>
              <w:end w:w="120" w:type="dxa"/>
            </w:tcMar>
          </w:tcPr>
          <w:p>
            <w:r>
              <w:rPr>
                <w:rFonts w:ascii="Arial" w:hAnsi="Arial" w:eastAsia="Arial"/>
                <w:b/>
                <w:color w:val="FFFFFF"/>
                <w:sz w:val="18"/>
              </w:rPr>
              <w:t>Tiêu chí</w:t>
            </w:r>
          </w:p>
        </w:tc>
        <w:tc>
          <w:tcPr>
            <w:tcW w:type="dxa" w:w="2664"/>
            <w:shd w:fill="1F4E79"/>
            <w:tcMar>
              <w:top w:w="100" w:type="dxa"/>
              <w:start w:w="120" w:type="dxa"/>
              <w:bottom w:w="100" w:type="dxa"/>
              <w:end w:w="120" w:type="dxa"/>
            </w:tcMar>
          </w:tcPr>
          <w:p>
            <w:r>
              <w:rPr>
                <w:rFonts w:ascii="Arial" w:hAnsi="Arial" w:eastAsia="Arial"/>
                <w:b/>
                <w:color w:val="FFFFFF"/>
                <w:sz w:val="18"/>
              </w:rPr>
              <w:t>Quy phạm pháp luật</w:t>
            </w:r>
          </w:p>
        </w:tc>
        <w:tc>
          <w:tcPr>
            <w:tcW w:type="dxa" w:w="2664"/>
            <w:shd w:fill="1F4E79"/>
            <w:tcMar>
              <w:top w:w="100" w:type="dxa"/>
              <w:start w:w="120" w:type="dxa"/>
              <w:bottom w:w="100" w:type="dxa"/>
              <w:end w:w="120" w:type="dxa"/>
            </w:tcMar>
          </w:tcPr>
          <w:p>
            <w:r>
              <w:rPr>
                <w:rFonts w:ascii="Arial" w:hAnsi="Arial" w:eastAsia="Arial"/>
                <w:b/>
                <w:color w:val="FFFFFF"/>
                <w:sz w:val="18"/>
              </w:rPr>
              <w:t>Điều luật</w:t>
            </w:r>
          </w:p>
        </w:tc>
        <w:tc>
          <w:tcPr>
            <w:tcW w:type="dxa" w:w="2808"/>
            <w:shd w:fill="1F4E79"/>
            <w:tcMar>
              <w:top w:w="100" w:type="dxa"/>
              <w:start w:w="120" w:type="dxa"/>
              <w:bottom w:w="100" w:type="dxa"/>
              <w:end w:w="120" w:type="dxa"/>
            </w:tcMar>
          </w:tcPr>
          <w:p>
            <w:r>
              <w:rPr>
                <w:rFonts w:ascii="Arial" w:hAnsi="Arial" w:eastAsia="Arial"/>
                <w:b/>
                <w:color w:val="FFFFFF"/>
                <w:sz w:val="18"/>
              </w:rPr>
              <w:t>Văn bản QPPL</w:t>
            </w:r>
          </w:p>
        </w:tc>
      </w:tr>
      <w:tr>
        <w:tc>
          <w:tcPr>
            <w:tcW w:type="dxa" w:w="1512"/>
            <w:tcMar>
              <w:top w:w="100" w:type="dxa"/>
              <w:start w:w="120" w:type="dxa"/>
              <w:bottom w:w="100" w:type="dxa"/>
              <w:end w:w="120" w:type="dxa"/>
            </w:tcMar>
          </w:tcPr>
          <w:p>
            <w:r>
              <w:rPr>
                <w:rFonts w:ascii="Arial" w:hAnsi="Arial" w:eastAsia="Arial"/>
                <w:color w:val="222222"/>
                <w:sz w:val="18"/>
              </w:rPr>
              <w:t>Bản chất</w:t>
            </w:r>
          </w:p>
        </w:tc>
        <w:tc>
          <w:tcPr>
            <w:tcW w:type="dxa" w:w="2664"/>
            <w:tcMar>
              <w:top w:w="100" w:type="dxa"/>
              <w:start w:w="120" w:type="dxa"/>
              <w:bottom w:w="100" w:type="dxa"/>
              <w:end w:w="120" w:type="dxa"/>
            </w:tcMar>
          </w:tcPr>
          <w:p>
            <w:r>
              <w:rPr>
                <w:rFonts w:ascii="Arial" w:hAnsi="Arial" w:eastAsia="Arial"/>
                <w:color w:val="222222"/>
                <w:sz w:val="18"/>
              </w:rPr>
              <w:t>Quy tắc xử sự chung</w:t>
            </w:r>
          </w:p>
        </w:tc>
        <w:tc>
          <w:tcPr>
            <w:tcW w:type="dxa" w:w="2664"/>
            <w:tcMar>
              <w:top w:w="100" w:type="dxa"/>
              <w:start w:w="120" w:type="dxa"/>
              <w:bottom w:w="100" w:type="dxa"/>
              <w:end w:w="120" w:type="dxa"/>
            </w:tcMar>
          </w:tcPr>
          <w:p>
            <w:r>
              <w:rPr>
                <w:rFonts w:ascii="Arial" w:hAnsi="Arial" w:eastAsia="Arial"/>
                <w:color w:val="222222"/>
                <w:sz w:val="18"/>
              </w:rPr>
              <w:t>Đơn vị trình bày trong văn bản</w:t>
            </w:r>
          </w:p>
        </w:tc>
        <w:tc>
          <w:tcPr>
            <w:tcW w:type="dxa" w:w="2808"/>
            <w:tcMar>
              <w:top w:w="100" w:type="dxa"/>
              <w:start w:w="120" w:type="dxa"/>
              <w:bottom w:w="100" w:type="dxa"/>
              <w:end w:w="120" w:type="dxa"/>
            </w:tcMar>
          </w:tcPr>
          <w:p>
            <w:r>
              <w:rPr>
                <w:rFonts w:ascii="Arial" w:hAnsi="Arial" w:eastAsia="Arial"/>
                <w:color w:val="222222"/>
                <w:sz w:val="18"/>
              </w:rPr>
              <w:t>Văn bản chứa quy phạm</w:t>
            </w:r>
          </w:p>
        </w:tc>
      </w:tr>
      <w:tr>
        <w:tc>
          <w:tcPr>
            <w:tcW w:type="dxa" w:w="1512"/>
            <w:tcMar>
              <w:top w:w="100" w:type="dxa"/>
              <w:start w:w="120" w:type="dxa"/>
              <w:bottom w:w="100" w:type="dxa"/>
              <w:end w:w="120" w:type="dxa"/>
            </w:tcMar>
          </w:tcPr>
          <w:p>
            <w:r>
              <w:rPr>
                <w:rFonts w:ascii="Arial" w:hAnsi="Arial" w:eastAsia="Arial"/>
                <w:color w:val="222222"/>
                <w:sz w:val="18"/>
              </w:rPr>
              <w:t>Quan hệ</w:t>
            </w:r>
          </w:p>
        </w:tc>
        <w:tc>
          <w:tcPr>
            <w:tcW w:type="dxa" w:w="2664"/>
            <w:tcMar>
              <w:top w:w="100" w:type="dxa"/>
              <w:start w:w="120" w:type="dxa"/>
              <w:bottom w:w="100" w:type="dxa"/>
              <w:end w:w="120" w:type="dxa"/>
            </w:tcMar>
          </w:tcPr>
          <w:p>
            <w:r>
              <w:rPr>
                <w:rFonts w:ascii="Arial" w:hAnsi="Arial" w:eastAsia="Arial"/>
                <w:color w:val="222222"/>
                <w:sz w:val="18"/>
              </w:rPr>
              <w:t>Có thể nằm ở nhiều điều</w:t>
            </w:r>
          </w:p>
        </w:tc>
        <w:tc>
          <w:tcPr>
            <w:tcW w:type="dxa" w:w="2664"/>
            <w:tcMar>
              <w:top w:w="100" w:type="dxa"/>
              <w:start w:w="120" w:type="dxa"/>
              <w:bottom w:w="100" w:type="dxa"/>
              <w:end w:w="120" w:type="dxa"/>
            </w:tcMar>
          </w:tcPr>
          <w:p>
            <w:r>
              <w:rPr>
                <w:rFonts w:ascii="Arial" w:hAnsi="Arial" w:eastAsia="Arial"/>
                <w:color w:val="222222"/>
                <w:sz w:val="18"/>
              </w:rPr>
              <w:t>Có thể chứa một hoặc nhiều quy phạm</w:t>
            </w:r>
          </w:p>
        </w:tc>
        <w:tc>
          <w:tcPr>
            <w:tcW w:type="dxa" w:w="2808"/>
            <w:tcMar>
              <w:top w:w="100" w:type="dxa"/>
              <w:start w:w="120" w:type="dxa"/>
              <w:bottom w:w="100" w:type="dxa"/>
              <w:end w:w="120" w:type="dxa"/>
            </w:tcMar>
          </w:tcPr>
          <w:p>
            <w:r>
              <w:rPr>
                <w:rFonts w:ascii="Arial" w:hAnsi="Arial" w:eastAsia="Arial"/>
                <w:color w:val="222222"/>
                <w:sz w:val="18"/>
              </w:rPr>
              <w:t>Gồm nhiều điều, chương</w:t>
            </w:r>
          </w:p>
        </w:tc>
      </w:tr>
      <w:tr>
        <w:tc>
          <w:tcPr>
            <w:tcW w:type="dxa" w:w="1512"/>
            <w:tcMar>
              <w:top w:w="100" w:type="dxa"/>
              <w:start w:w="120" w:type="dxa"/>
              <w:bottom w:w="100" w:type="dxa"/>
              <w:end w:w="120" w:type="dxa"/>
            </w:tcMar>
          </w:tcPr>
          <w:p>
            <w:r>
              <w:rPr>
                <w:rFonts w:ascii="Arial" w:hAnsi="Arial" w:eastAsia="Arial"/>
                <w:color w:val="222222"/>
                <w:sz w:val="18"/>
              </w:rPr>
              <w:t>Ví dụ</w:t>
            </w:r>
          </w:p>
        </w:tc>
        <w:tc>
          <w:tcPr>
            <w:tcW w:type="dxa" w:w="2664"/>
            <w:tcMar>
              <w:top w:w="100" w:type="dxa"/>
              <w:start w:w="120" w:type="dxa"/>
              <w:bottom w:w="100" w:type="dxa"/>
              <w:end w:w="120" w:type="dxa"/>
            </w:tcMar>
          </w:tcPr>
          <w:p>
            <w:r>
              <w:rPr>
                <w:rFonts w:ascii="Arial" w:hAnsi="Arial" w:eastAsia="Arial"/>
                <w:color w:val="222222"/>
                <w:sz w:val="18"/>
              </w:rPr>
              <w:t>Cấm chiếm đoạt tài sản</w:t>
            </w:r>
          </w:p>
        </w:tc>
        <w:tc>
          <w:tcPr>
            <w:tcW w:type="dxa" w:w="2664"/>
            <w:tcMar>
              <w:top w:w="100" w:type="dxa"/>
              <w:start w:w="120" w:type="dxa"/>
              <w:bottom w:w="100" w:type="dxa"/>
              <w:end w:w="120" w:type="dxa"/>
            </w:tcMar>
          </w:tcPr>
          <w:p>
            <w:r>
              <w:rPr>
                <w:rFonts w:ascii="Arial" w:hAnsi="Arial" w:eastAsia="Arial"/>
                <w:color w:val="222222"/>
                <w:sz w:val="18"/>
              </w:rPr>
              <w:t>Một điều quy định tội danh</w:t>
            </w:r>
          </w:p>
        </w:tc>
        <w:tc>
          <w:tcPr>
            <w:tcW w:type="dxa" w:w="2808"/>
            <w:tcMar>
              <w:top w:w="100" w:type="dxa"/>
              <w:start w:w="120" w:type="dxa"/>
              <w:bottom w:w="100" w:type="dxa"/>
              <w:end w:w="120" w:type="dxa"/>
            </w:tcMar>
          </w:tcPr>
          <w:p>
            <w:r>
              <w:rPr>
                <w:rFonts w:ascii="Arial" w:hAnsi="Arial" w:eastAsia="Arial"/>
                <w:color w:val="222222"/>
                <w:sz w:val="18"/>
              </w:rPr>
              <w:t>Bộ luật, luật, nghị định…</w:t>
            </w:r>
          </w:p>
        </w:tc>
      </w:tr>
    </w:tbl>
    <w:p>
      <w:pPr>
        <w:pStyle w:val="Heading2"/>
      </w:pPr>
      <w:r>
        <w:t>2. Phân biệt các loại vi phạm pháp luật</w:t>
      </w:r>
    </w:p>
    <w:tbl>
      <w:tblPr>
        <w:tblStyle w:val="TableGrid"/>
        <w:tblW w:type="auto" w:w="0"/>
        <w:tblLayout w:type="fixed"/>
        <w:tblLook w:firstColumn="1" w:firstRow="1" w:lastColumn="0" w:lastRow="0" w:noHBand="0" w:noVBand="1" w:val="04A0"/>
      </w:tblPr>
      <w:tblGrid>
        <w:gridCol w:w="1950"/>
        <w:gridCol w:w="1950"/>
        <w:gridCol w:w="1950"/>
        <w:gridCol w:w="1950"/>
        <w:gridCol w:w="1950"/>
      </w:tblGrid>
      <w:tr>
        <w:trPr>
          <w:tblHeader w:val="true"/>
        </w:trPr>
        <w:tc>
          <w:tcPr>
            <w:tcW w:type="dxa" w:w="1080"/>
            <w:shd w:fill="1F4E79"/>
            <w:tcMar>
              <w:top w:w="100" w:type="dxa"/>
              <w:start w:w="120" w:type="dxa"/>
              <w:bottom w:w="100" w:type="dxa"/>
              <w:end w:w="120" w:type="dxa"/>
            </w:tcMar>
          </w:tcPr>
          <w:p>
            <w:r>
              <w:rPr>
                <w:rFonts w:ascii="Arial" w:hAnsi="Arial" w:eastAsia="Arial"/>
                <w:b/>
                <w:color w:val="FFFFFF"/>
                <w:sz w:val="17"/>
              </w:rPr>
              <w:t>Loại</w:t>
            </w:r>
          </w:p>
        </w:tc>
        <w:tc>
          <w:tcPr>
            <w:tcW w:type="dxa" w:w="2232"/>
            <w:shd w:fill="1F4E79"/>
            <w:tcMar>
              <w:top w:w="100" w:type="dxa"/>
              <w:start w:w="120" w:type="dxa"/>
              <w:bottom w:w="100" w:type="dxa"/>
              <w:end w:w="120" w:type="dxa"/>
            </w:tcMar>
          </w:tcPr>
          <w:p>
            <w:r>
              <w:rPr>
                <w:rFonts w:ascii="Arial" w:hAnsi="Arial" w:eastAsia="Arial"/>
                <w:b/>
                <w:color w:val="FFFFFF"/>
                <w:sz w:val="17"/>
              </w:rPr>
              <w:t>Quan hệ bị xâm hại</w:t>
            </w:r>
          </w:p>
        </w:tc>
        <w:tc>
          <w:tcPr>
            <w:tcW w:type="dxa" w:w="2232"/>
            <w:shd w:fill="1F4E79"/>
            <w:tcMar>
              <w:top w:w="100" w:type="dxa"/>
              <w:start w:w="120" w:type="dxa"/>
              <w:bottom w:w="100" w:type="dxa"/>
              <w:end w:w="120" w:type="dxa"/>
            </w:tcMar>
          </w:tcPr>
          <w:p>
            <w:r>
              <w:rPr>
                <w:rFonts w:ascii="Arial" w:hAnsi="Arial" w:eastAsia="Arial"/>
                <w:b/>
                <w:color w:val="FFFFFF"/>
                <w:sz w:val="17"/>
              </w:rPr>
              <w:t>Căn cứ chính</w:t>
            </w:r>
          </w:p>
        </w:tc>
        <w:tc>
          <w:tcPr>
            <w:tcW w:type="dxa" w:w="1944"/>
            <w:shd w:fill="1F4E79"/>
            <w:tcMar>
              <w:top w:w="100" w:type="dxa"/>
              <w:start w:w="120" w:type="dxa"/>
              <w:bottom w:w="100" w:type="dxa"/>
              <w:end w:w="120" w:type="dxa"/>
            </w:tcMar>
          </w:tcPr>
          <w:p>
            <w:r>
              <w:rPr>
                <w:rFonts w:ascii="Arial" w:hAnsi="Arial" w:eastAsia="Arial"/>
                <w:b/>
                <w:color w:val="FFFFFF"/>
                <w:sz w:val="17"/>
              </w:rPr>
              <w:t>Chủ thể xử lý</w:t>
            </w:r>
          </w:p>
        </w:tc>
        <w:tc>
          <w:tcPr>
            <w:tcW w:type="dxa" w:w="2160"/>
            <w:shd w:fill="1F4E79"/>
            <w:tcMar>
              <w:top w:w="100" w:type="dxa"/>
              <w:start w:w="120" w:type="dxa"/>
              <w:bottom w:w="100" w:type="dxa"/>
              <w:end w:w="120" w:type="dxa"/>
            </w:tcMar>
          </w:tcPr>
          <w:p>
            <w:r>
              <w:rPr>
                <w:rFonts w:ascii="Arial" w:hAnsi="Arial" w:eastAsia="Arial"/>
                <w:b/>
                <w:color w:val="FFFFFF"/>
                <w:sz w:val="17"/>
              </w:rPr>
              <w:t>Hậu quả điển hình</w:t>
            </w:r>
          </w:p>
        </w:tc>
      </w:tr>
      <w:tr>
        <w:tc>
          <w:tcPr>
            <w:tcW w:type="dxa" w:w="1080"/>
            <w:tcMar>
              <w:top w:w="100" w:type="dxa"/>
              <w:start w:w="120" w:type="dxa"/>
              <w:bottom w:w="100" w:type="dxa"/>
              <w:end w:w="120" w:type="dxa"/>
            </w:tcMar>
          </w:tcPr>
          <w:p>
            <w:r>
              <w:rPr>
                <w:rFonts w:ascii="Arial" w:hAnsi="Arial" w:eastAsia="Arial"/>
                <w:color w:val="222222"/>
                <w:sz w:val="17"/>
              </w:rPr>
              <w:t>Hình sự</w:t>
            </w:r>
          </w:p>
        </w:tc>
        <w:tc>
          <w:tcPr>
            <w:tcW w:type="dxa" w:w="2232"/>
            <w:tcMar>
              <w:top w:w="100" w:type="dxa"/>
              <w:start w:w="120" w:type="dxa"/>
              <w:bottom w:w="100" w:type="dxa"/>
              <w:end w:w="120" w:type="dxa"/>
            </w:tcMar>
          </w:tcPr>
          <w:p>
            <w:r>
              <w:rPr>
                <w:rFonts w:ascii="Arial" w:hAnsi="Arial" w:eastAsia="Arial"/>
                <w:color w:val="222222"/>
                <w:sz w:val="17"/>
              </w:rPr>
              <w:t>Quan hệ được BLHS bảo vệ</w:t>
            </w:r>
          </w:p>
        </w:tc>
        <w:tc>
          <w:tcPr>
            <w:tcW w:type="dxa" w:w="2232"/>
            <w:tcMar>
              <w:top w:w="100" w:type="dxa"/>
              <w:start w:w="120" w:type="dxa"/>
              <w:bottom w:w="100" w:type="dxa"/>
              <w:end w:w="120" w:type="dxa"/>
            </w:tcMar>
          </w:tcPr>
          <w:p>
            <w:r>
              <w:rPr>
                <w:rFonts w:ascii="Arial" w:hAnsi="Arial" w:eastAsia="Arial"/>
                <w:color w:val="222222"/>
                <w:sz w:val="17"/>
              </w:rPr>
              <w:t>Bộ luật Hình sự</w:t>
            </w:r>
          </w:p>
        </w:tc>
        <w:tc>
          <w:tcPr>
            <w:tcW w:type="dxa" w:w="1944"/>
            <w:tcMar>
              <w:top w:w="100" w:type="dxa"/>
              <w:start w:w="120" w:type="dxa"/>
              <w:bottom w:w="100" w:type="dxa"/>
              <w:end w:w="120" w:type="dxa"/>
            </w:tcMar>
          </w:tcPr>
          <w:p>
            <w:r>
              <w:rPr>
                <w:rFonts w:ascii="Arial" w:hAnsi="Arial" w:eastAsia="Arial"/>
                <w:color w:val="222222"/>
                <w:sz w:val="17"/>
              </w:rPr>
              <w:t>Tòa án</w:t>
            </w:r>
          </w:p>
        </w:tc>
        <w:tc>
          <w:tcPr>
            <w:tcW w:type="dxa" w:w="2160"/>
            <w:tcMar>
              <w:top w:w="100" w:type="dxa"/>
              <w:start w:w="120" w:type="dxa"/>
              <w:bottom w:w="100" w:type="dxa"/>
              <w:end w:w="120" w:type="dxa"/>
            </w:tcMar>
          </w:tcPr>
          <w:p>
            <w:r>
              <w:rPr>
                <w:rFonts w:ascii="Arial" w:hAnsi="Arial" w:eastAsia="Arial"/>
                <w:color w:val="222222"/>
                <w:sz w:val="17"/>
              </w:rPr>
              <w:t>Hình phạt, biện pháp tư pháp</w:t>
            </w:r>
          </w:p>
        </w:tc>
      </w:tr>
      <w:tr>
        <w:tc>
          <w:tcPr>
            <w:tcW w:type="dxa" w:w="1080"/>
            <w:tcMar>
              <w:top w:w="100" w:type="dxa"/>
              <w:start w:w="120" w:type="dxa"/>
              <w:bottom w:w="100" w:type="dxa"/>
              <w:end w:w="120" w:type="dxa"/>
            </w:tcMar>
          </w:tcPr>
          <w:p>
            <w:r>
              <w:rPr>
                <w:rFonts w:ascii="Arial" w:hAnsi="Arial" w:eastAsia="Arial"/>
                <w:color w:val="222222"/>
                <w:sz w:val="17"/>
              </w:rPr>
              <w:t>Hành chính</w:t>
            </w:r>
          </w:p>
        </w:tc>
        <w:tc>
          <w:tcPr>
            <w:tcW w:type="dxa" w:w="2232"/>
            <w:tcMar>
              <w:top w:w="100" w:type="dxa"/>
              <w:start w:w="120" w:type="dxa"/>
              <w:bottom w:w="100" w:type="dxa"/>
              <w:end w:w="120" w:type="dxa"/>
            </w:tcMar>
          </w:tcPr>
          <w:p>
            <w:r>
              <w:rPr>
                <w:rFonts w:ascii="Arial" w:hAnsi="Arial" w:eastAsia="Arial"/>
                <w:color w:val="222222"/>
                <w:sz w:val="17"/>
              </w:rPr>
              <w:t>Trật tự quản lý nhà nước</w:t>
            </w:r>
          </w:p>
        </w:tc>
        <w:tc>
          <w:tcPr>
            <w:tcW w:type="dxa" w:w="2232"/>
            <w:tcMar>
              <w:top w:w="100" w:type="dxa"/>
              <w:start w:w="120" w:type="dxa"/>
              <w:bottom w:w="100" w:type="dxa"/>
              <w:end w:w="120" w:type="dxa"/>
            </w:tcMar>
          </w:tcPr>
          <w:p>
            <w:r>
              <w:rPr>
                <w:rFonts w:ascii="Arial" w:hAnsi="Arial" w:eastAsia="Arial"/>
                <w:color w:val="222222"/>
                <w:sz w:val="17"/>
              </w:rPr>
              <w:t>Luật XLVPHC và luật chuyên ngành</w:t>
            </w:r>
          </w:p>
        </w:tc>
        <w:tc>
          <w:tcPr>
            <w:tcW w:type="dxa" w:w="1944"/>
            <w:tcMar>
              <w:top w:w="100" w:type="dxa"/>
              <w:start w:w="120" w:type="dxa"/>
              <w:bottom w:w="100" w:type="dxa"/>
              <w:end w:w="120" w:type="dxa"/>
            </w:tcMar>
          </w:tcPr>
          <w:p>
            <w:r>
              <w:rPr>
                <w:rFonts w:ascii="Arial" w:hAnsi="Arial" w:eastAsia="Arial"/>
                <w:color w:val="222222"/>
                <w:sz w:val="17"/>
              </w:rPr>
              <w:t>Người/cơ quan có thẩm quyền</w:t>
            </w:r>
          </w:p>
        </w:tc>
        <w:tc>
          <w:tcPr>
            <w:tcW w:type="dxa" w:w="2160"/>
            <w:tcMar>
              <w:top w:w="100" w:type="dxa"/>
              <w:start w:w="120" w:type="dxa"/>
              <w:bottom w:w="100" w:type="dxa"/>
              <w:end w:w="120" w:type="dxa"/>
            </w:tcMar>
          </w:tcPr>
          <w:p>
            <w:r>
              <w:rPr>
                <w:rFonts w:ascii="Arial" w:hAnsi="Arial" w:eastAsia="Arial"/>
                <w:color w:val="222222"/>
                <w:sz w:val="17"/>
              </w:rPr>
              <w:t>Cảnh cáo, phạt tiền, biện pháp khắc phục</w:t>
            </w:r>
          </w:p>
        </w:tc>
      </w:tr>
      <w:tr>
        <w:tc>
          <w:tcPr>
            <w:tcW w:type="dxa" w:w="1080"/>
            <w:tcMar>
              <w:top w:w="100" w:type="dxa"/>
              <w:start w:w="120" w:type="dxa"/>
              <w:bottom w:w="100" w:type="dxa"/>
              <w:end w:w="120" w:type="dxa"/>
            </w:tcMar>
          </w:tcPr>
          <w:p>
            <w:r>
              <w:rPr>
                <w:rFonts w:ascii="Arial" w:hAnsi="Arial" w:eastAsia="Arial"/>
                <w:color w:val="222222"/>
                <w:sz w:val="17"/>
              </w:rPr>
              <w:t>Dân sự</w:t>
            </w:r>
          </w:p>
        </w:tc>
        <w:tc>
          <w:tcPr>
            <w:tcW w:type="dxa" w:w="2232"/>
            <w:tcMar>
              <w:top w:w="100" w:type="dxa"/>
              <w:start w:w="120" w:type="dxa"/>
              <w:bottom w:w="100" w:type="dxa"/>
              <w:end w:w="120" w:type="dxa"/>
            </w:tcMar>
          </w:tcPr>
          <w:p>
            <w:r>
              <w:rPr>
                <w:rFonts w:ascii="Arial" w:hAnsi="Arial" w:eastAsia="Arial"/>
                <w:color w:val="222222"/>
                <w:sz w:val="17"/>
              </w:rPr>
              <w:t>Tài sản, nhân thân</w:t>
            </w:r>
          </w:p>
        </w:tc>
        <w:tc>
          <w:tcPr>
            <w:tcW w:type="dxa" w:w="2232"/>
            <w:tcMar>
              <w:top w:w="100" w:type="dxa"/>
              <w:start w:w="120" w:type="dxa"/>
              <w:bottom w:w="100" w:type="dxa"/>
              <w:end w:w="120" w:type="dxa"/>
            </w:tcMar>
          </w:tcPr>
          <w:p>
            <w:r>
              <w:rPr>
                <w:rFonts w:ascii="Arial" w:hAnsi="Arial" w:eastAsia="Arial"/>
                <w:color w:val="222222"/>
                <w:sz w:val="17"/>
              </w:rPr>
              <w:t>BLDS, hợp đồng</w:t>
            </w:r>
          </w:p>
        </w:tc>
        <w:tc>
          <w:tcPr>
            <w:tcW w:type="dxa" w:w="1944"/>
            <w:tcMar>
              <w:top w:w="100" w:type="dxa"/>
              <w:start w:w="120" w:type="dxa"/>
              <w:bottom w:w="100" w:type="dxa"/>
              <w:end w:w="120" w:type="dxa"/>
            </w:tcMar>
          </w:tcPr>
          <w:p>
            <w:r>
              <w:rPr>
                <w:rFonts w:ascii="Arial" w:hAnsi="Arial" w:eastAsia="Arial"/>
                <w:color w:val="222222"/>
                <w:sz w:val="17"/>
              </w:rPr>
              <w:t>Tòa án/trọng tài</w:t>
            </w:r>
          </w:p>
        </w:tc>
        <w:tc>
          <w:tcPr>
            <w:tcW w:type="dxa" w:w="2160"/>
            <w:tcMar>
              <w:top w:w="100" w:type="dxa"/>
              <w:start w:w="120" w:type="dxa"/>
              <w:bottom w:w="100" w:type="dxa"/>
              <w:end w:w="120" w:type="dxa"/>
            </w:tcMar>
          </w:tcPr>
          <w:p>
            <w:r>
              <w:rPr>
                <w:rFonts w:ascii="Arial" w:hAnsi="Arial" w:eastAsia="Arial"/>
                <w:color w:val="222222"/>
                <w:sz w:val="17"/>
              </w:rPr>
              <w:t>Bồi thường, buộc thực hiện nghĩa vụ</w:t>
            </w:r>
          </w:p>
        </w:tc>
      </w:tr>
      <w:tr>
        <w:tc>
          <w:tcPr>
            <w:tcW w:type="dxa" w:w="1080"/>
            <w:tcMar>
              <w:top w:w="100" w:type="dxa"/>
              <w:start w:w="120" w:type="dxa"/>
              <w:bottom w:w="100" w:type="dxa"/>
              <w:end w:w="120" w:type="dxa"/>
            </w:tcMar>
          </w:tcPr>
          <w:p>
            <w:r>
              <w:rPr>
                <w:rFonts w:ascii="Arial" w:hAnsi="Arial" w:eastAsia="Arial"/>
                <w:color w:val="222222"/>
                <w:sz w:val="17"/>
              </w:rPr>
              <w:t>Kỷ luật</w:t>
            </w:r>
          </w:p>
        </w:tc>
        <w:tc>
          <w:tcPr>
            <w:tcW w:type="dxa" w:w="2232"/>
            <w:tcMar>
              <w:top w:w="100" w:type="dxa"/>
              <w:start w:w="120" w:type="dxa"/>
              <w:bottom w:w="100" w:type="dxa"/>
              <w:end w:w="120" w:type="dxa"/>
            </w:tcMar>
          </w:tcPr>
          <w:p>
            <w:r>
              <w:rPr>
                <w:rFonts w:ascii="Arial" w:hAnsi="Arial" w:eastAsia="Arial"/>
                <w:color w:val="222222"/>
                <w:sz w:val="17"/>
              </w:rPr>
              <w:t>Trật tự nội bộ</w:t>
            </w:r>
          </w:p>
        </w:tc>
        <w:tc>
          <w:tcPr>
            <w:tcW w:type="dxa" w:w="2232"/>
            <w:tcMar>
              <w:top w:w="100" w:type="dxa"/>
              <w:start w:w="120" w:type="dxa"/>
              <w:bottom w:w="100" w:type="dxa"/>
              <w:end w:w="120" w:type="dxa"/>
            </w:tcMar>
          </w:tcPr>
          <w:p>
            <w:r>
              <w:rPr>
                <w:rFonts w:ascii="Arial" w:hAnsi="Arial" w:eastAsia="Arial"/>
                <w:color w:val="222222"/>
                <w:sz w:val="17"/>
              </w:rPr>
              <w:t>Nội quy, luật công vụ/lao động</w:t>
            </w:r>
          </w:p>
        </w:tc>
        <w:tc>
          <w:tcPr>
            <w:tcW w:type="dxa" w:w="1944"/>
            <w:tcMar>
              <w:top w:w="100" w:type="dxa"/>
              <w:start w:w="120" w:type="dxa"/>
              <w:bottom w:w="100" w:type="dxa"/>
              <w:end w:w="120" w:type="dxa"/>
            </w:tcMar>
          </w:tcPr>
          <w:p>
            <w:r>
              <w:rPr>
                <w:rFonts w:ascii="Arial" w:hAnsi="Arial" w:eastAsia="Arial"/>
                <w:color w:val="222222"/>
                <w:sz w:val="17"/>
              </w:rPr>
              <w:t>Người sử dụng lao động/cơ quan</w:t>
            </w:r>
          </w:p>
        </w:tc>
        <w:tc>
          <w:tcPr>
            <w:tcW w:type="dxa" w:w="2160"/>
            <w:tcMar>
              <w:top w:w="100" w:type="dxa"/>
              <w:start w:w="120" w:type="dxa"/>
              <w:bottom w:w="100" w:type="dxa"/>
              <w:end w:w="120" w:type="dxa"/>
            </w:tcMar>
          </w:tcPr>
          <w:p>
            <w:r>
              <w:rPr>
                <w:rFonts w:ascii="Arial" w:hAnsi="Arial" w:eastAsia="Arial"/>
                <w:color w:val="222222"/>
                <w:sz w:val="17"/>
              </w:rPr>
              <w:t>Khiển trách, kéo dài nâng lương, sa thải…</w:t>
            </w:r>
          </w:p>
        </w:tc>
      </w:tr>
    </w:tbl>
    <w:p>
      <w:pPr>
        <w:pStyle w:val="Heading2"/>
      </w:pPr>
      <w:r>
        <w:t>3. Công thức giải bài tình huống</w:t>
      </w:r>
    </w:p>
    <w:p>
      <w:pPr>
        <w:pStyle w:val="ListNumber"/>
        <w:spacing w:after="60"/>
      </w:pPr>
      <w:r>
        <w:rPr>
          <w:rFonts w:ascii="Arial" w:hAnsi="Arial" w:eastAsia="Arial"/>
          <w:color w:val="222222"/>
          <w:sz w:val="22"/>
        </w:rPr>
        <w:t>Tóm tắt đúng dữ kiện pháp lý; xác định câu hỏi đề bài.</w:t>
      </w:r>
    </w:p>
    <w:p>
      <w:pPr>
        <w:pStyle w:val="ListNumber"/>
        <w:spacing w:after="60"/>
      </w:pPr>
      <w:r>
        <w:rPr>
          <w:rFonts w:ascii="Arial" w:hAnsi="Arial" w:eastAsia="Arial"/>
          <w:color w:val="222222"/>
          <w:sz w:val="22"/>
        </w:rPr>
        <w:t>Xác định quan hệ pháp luật và ngành luật điều chỉnh.</w:t>
      </w:r>
    </w:p>
    <w:p>
      <w:pPr>
        <w:pStyle w:val="ListNumber"/>
        <w:spacing w:after="60"/>
      </w:pPr>
      <w:r>
        <w:rPr>
          <w:rFonts w:ascii="Arial" w:hAnsi="Arial" w:eastAsia="Arial"/>
          <w:color w:val="222222"/>
          <w:sz w:val="22"/>
        </w:rPr>
        <w:t>Nêu quy tắc/căn cứ pháp lý cần áp dụng.</w:t>
      </w:r>
    </w:p>
    <w:p>
      <w:pPr>
        <w:pStyle w:val="ListNumber"/>
        <w:spacing w:after="60"/>
      </w:pPr>
      <w:r>
        <w:rPr>
          <w:rFonts w:ascii="Arial" w:hAnsi="Arial" w:eastAsia="Arial"/>
          <w:color w:val="222222"/>
          <w:sz w:val="22"/>
        </w:rPr>
        <w:t>Đối chiếu từng dấu hiệu với dữ kiện; không bỏ qua lỗi, năng lực chủ thể và quan hệ nhân quả.</w:t>
      </w:r>
    </w:p>
    <w:p>
      <w:pPr>
        <w:pStyle w:val="ListNumber"/>
        <w:spacing w:after="60"/>
      </w:pPr>
      <w:r>
        <w:rPr>
          <w:rFonts w:ascii="Arial" w:hAnsi="Arial" w:eastAsia="Arial"/>
          <w:color w:val="222222"/>
          <w:sz w:val="22"/>
        </w:rPr>
        <w:t>Nêu dữ kiện còn thiếu hoặc các trường hợp cần phân nhánh.</w:t>
      </w:r>
    </w:p>
    <w:p>
      <w:pPr>
        <w:pStyle w:val="ListNumber"/>
        <w:spacing w:after="60"/>
      </w:pPr>
      <w:r>
        <w:rPr>
          <w:rFonts w:ascii="Arial" w:hAnsi="Arial" w:eastAsia="Arial"/>
          <w:color w:val="222222"/>
          <w:sz w:val="22"/>
        </w:rPr>
        <w:t>Kết luận ngắn, rõ, không tuyệt đối hóa khi chưa đủ chứng cứ.</w:t>
      </w:r>
    </w:p>
    <w:p>
      <w:pPr>
        <w:pStyle w:val="Heading2"/>
      </w:pPr>
      <w:r>
        <w:t>4. Nhận diện nhanh các tội chiếm đoạt</w:t>
      </w:r>
    </w:p>
    <w:tbl>
      <w:tblPr>
        <w:tblStyle w:val="TableGrid"/>
        <w:tblW w:type="auto" w:w="0"/>
        <w:tblLayout w:type="fixed"/>
        <w:tblLook w:firstColumn="1" w:firstRow="1" w:lastColumn="0" w:lastRow="0" w:noHBand="0" w:noVBand="1" w:val="04A0"/>
      </w:tblPr>
      <w:tblGrid>
        <w:gridCol w:w="3250"/>
        <w:gridCol w:w="3250"/>
        <w:gridCol w:w="3250"/>
      </w:tblGrid>
      <w:tr>
        <w:trPr>
          <w:tblHeader w:val="true"/>
        </w:trPr>
        <w:tc>
          <w:tcPr>
            <w:tcW w:type="dxa" w:w="1584"/>
            <w:shd w:fill="1F4E79"/>
            <w:tcMar>
              <w:top w:w="100" w:type="dxa"/>
              <w:start w:w="120" w:type="dxa"/>
              <w:bottom w:w="100" w:type="dxa"/>
              <w:end w:w="120" w:type="dxa"/>
            </w:tcMar>
          </w:tcPr>
          <w:p>
            <w:r>
              <w:rPr>
                <w:rFonts w:ascii="Arial" w:hAnsi="Arial" w:eastAsia="Arial"/>
                <w:b/>
                <w:color w:val="FFFFFF"/>
                <w:sz w:val="18"/>
              </w:rPr>
              <w:t>Tội danh</w:t>
            </w:r>
          </w:p>
        </w:tc>
        <w:tc>
          <w:tcPr>
            <w:tcW w:type="dxa" w:w="5760"/>
            <w:shd w:fill="1F4E79"/>
            <w:tcMar>
              <w:top w:w="100" w:type="dxa"/>
              <w:start w:w="120" w:type="dxa"/>
              <w:bottom w:w="100" w:type="dxa"/>
              <w:end w:w="120" w:type="dxa"/>
            </w:tcMar>
          </w:tcPr>
          <w:p>
            <w:r>
              <w:rPr>
                <w:rFonts w:ascii="Arial" w:hAnsi="Arial" w:eastAsia="Arial"/>
                <w:b/>
                <w:color w:val="FFFFFF"/>
                <w:sz w:val="18"/>
              </w:rPr>
              <w:t>Dấu hiệu nhận diện chính</w:t>
            </w:r>
          </w:p>
        </w:tc>
        <w:tc>
          <w:tcPr>
            <w:tcW w:type="dxa" w:w="2304"/>
            <w:shd w:fill="1F4E79"/>
            <w:tcMar>
              <w:top w:w="100" w:type="dxa"/>
              <w:start w:w="120" w:type="dxa"/>
              <w:bottom w:w="100" w:type="dxa"/>
              <w:end w:w="120" w:type="dxa"/>
            </w:tcMar>
          </w:tcPr>
          <w:p>
            <w:r>
              <w:rPr>
                <w:rFonts w:ascii="Arial" w:hAnsi="Arial" w:eastAsia="Arial"/>
                <w:b/>
                <w:color w:val="FFFFFF"/>
                <w:sz w:val="18"/>
              </w:rPr>
              <w:t>Thời điểm hình thành ý định chiếm đoạt</w:t>
            </w:r>
          </w:p>
        </w:tc>
      </w:tr>
      <w:tr>
        <w:tc>
          <w:tcPr>
            <w:tcW w:type="dxa" w:w="1584"/>
            <w:tcMar>
              <w:top w:w="100" w:type="dxa"/>
              <w:start w:w="120" w:type="dxa"/>
              <w:bottom w:w="100" w:type="dxa"/>
              <w:end w:w="120" w:type="dxa"/>
            </w:tcMar>
          </w:tcPr>
          <w:p>
            <w:r>
              <w:rPr>
                <w:rFonts w:ascii="Arial" w:hAnsi="Arial" w:eastAsia="Arial"/>
                <w:color w:val="222222"/>
                <w:sz w:val="17"/>
              </w:rPr>
              <w:t>Cướp</w:t>
            </w:r>
          </w:p>
        </w:tc>
        <w:tc>
          <w:tcPr>
            <w:tcW w:type="dxa" w:w="5760"/>
            <w:tcMar>
              <w:top w:w="100" w:type="dxa"/>
              <w:start w:w="120" w:type="dxa"/>
              <w:bottom w:w="100" w:type="dxa"/>
              <w:end w:w="120" w:type="dxa"/>
            </w:tcMar>
          </w:tcPr>
          <w:p>
            <w:r>
              <w:rPr>
                <w:rFonts w:ascii="Arial" w:hAnsi="Arial" w:eastAsia="Arial"/>
                <w:color w:val="222222"/>
                <w:sz w:val="17"/>
              </w:rPr>
              <w:t>Dùng/đe dọa dùng ngay tức khắc vũ lực hoặc thủ đoạn làm nạn nhân không thể chống cự</w:t>
            </w:r>
          </w:p>
        </w:tc>
        <w:tc>
          <w:tcPr>
            <w:tcW w:type="dxa" w:w="2304"/>
            <w:tcMar>
              <w:top w:w="100" w:type="dxa"/>
              <w:start w:w="120" w:type="dxa"/>
              <w:bottom w:w="100" w:type="dxa"/>
              <w:end w:w="120" w:type="dxa"/>
            </w:tcMar>
          </w:tcPr>
          <w:p>
            <w:r>
              <w:rPr>
                <w:rFonts w:ascii="Arial" w:hAnsi="Arial" w:eastAsia="Arial"/>
                <w:color w:val="222222"/>
                <w:sz w:val="17"/>
              </w:rPr>
              <w:t>Trước hoặc trong khi chiếm đoạt</w:t>
            </w:r>
          </w:p>
        </w:tc>
      </w:tr>
      <w:tr>
        <w:tc>
          <w:tcPr>
            <w:tcW w:type="dxa" w:w="1584"/>
            <w:tcMar>
              <w:top w:w="100" w:type="dxa"/>
              <w:start w:w="120" w:type="dxa"/>
              <w:bottom w:w="100" w:type="dxa"/>
              <w:end w:w="120" w:type="dxa"/>
            </w:tcMar>
          </w:tcPr>
          <w:p>
            <w:r>
              <w:rPr>
                <w:rFonts w:ascii="Arial" w:hAnsi="Arial" w:eastAsia="Arial"/>
                <w:color w:val="222222"/>
                <w:sz w:val="17"/>
              </w:rPr>
              <w:t>Cướp giật</w:t>
            </w:r>
          </w:p>
        </w:tc>
        <w:tc>
          <w:tcPr>
            <w:tcW w:type="dxa" w:w="5760"/>
            <w:tcMar>
              <w:top w:w="100" w:type="dxa"/>
              <w:start w:w="120" w:type="dxa"/>
              <w:bottom w:w="100" w:type="dxa"/>
              <w:end w:w="120" w:type="dxa"/>
            </w:tcMar>
          </w:tcPr>
          <w:p>
            <w:r>
              <w:rPr>
                <w:rFonts w:ascii="Arial" w:hAnsi="Arial" w:eastAsia="Arial"/>
                <w:color w:val="222222"/>
                <w:sz w:val="17"/>
              </w:rPr>
              <w:t>Công khai, nhanh chóng giật lấy rồi tẩu thoát</w:t>
            </w:r>
          </w:p>
        </w:tc>
        <w:tc>
          <w:tcPr>
            <w:tcW w:type="dxa" w:w="2304"/>
            <w:tcMar>
              <w:top w:w="100" w:type="dxa"/>
              <w:start w:w="120" w:type="dxa"/>
              <w:bottom w:w="100" w:type="dxa"/>
              <w:end w:w="120" w:type="dxa"/>
            </w:tcMar>
          </w:tcPr>
          <w:p>
            <w:r>
              <w:rPr>
                <w:rFonts w:ascii="Arial" w:hAnsi="Arial" w:eastAsia="Arial"/>
                <w:color w:val="222222"/>
                <w:sz w:val="17"/>
              </w:rPr>
              <w:t>Trước khi chiếm đoạt</w:t>
            </w:r>
          </w:p>
        </w:tc>
      </w:tr>
      <w:tr>
        <w:tc>
          <w:tcPr>
            <w:tcW w:type="dxa" w:w="1584"/>
            <w:tcMar>
              <w:top w:w="100" w:type="dxa"/>
              <w:start w:w="120" w:type="dxa"/>
              <w:bottom w:w="100" w:type="dxa"/>
              <w:end w:w="120" w:type="dxa"/>
            </w:tcMar>
          </w:tcPr>
          <w:p>
            <w:r>
              <w:rPr>
                <w:rFonts w:ascii="Arial" w:hAnsi="Arial" w:eastAsia="Arial"/>
                <w:color w:val="222222"/>
                <w:sz w:val="17"/>
              </w:rPr>
              <w:t>Công nhiên chiếm đoạt</w:t>
            </w:r>
          </w:p>
        </w:tc>
        <w:tc>
          <w:tcPr>
            <w:tcW w:type="dxa" w:w="5760"/>
            <w:tcMar>
              <w:top w:w="100" w:type="dxa"/>
              <w:start w:w="120" w:type="dxa"/>
              <w:bottom w:w="100" w:type="dxa"/>
              <w:end w:w="120" w:type="dxa"/>
            </w:tcMar>
          </w:tcPr>
          <w:p>
            <w:r>
              <w:rPr>
                <w:rFonts w:ascii="Arial" w:hAnsi="Arial" w:eastAsia="Arial"/>
                <w:color w:val="222222"/>
                <w:sz w:val="17"/>
              </w:rPr>
              <w:t>Công khai lấy tài sản khi chủ tài sản không thể ngăn cản</w:t>
            </w:r>
          </w:p>
        </w:tc>
        <w:tc>
          <w:tcPr>
            <w:tcW w:type="dxa" w:w="2304"/>
            <w:tcMar>
              <w:top w:w="100" w:type="dxa"/>
              <w:start w:w="120" w:type="dxa"/>
              <w:bottom w:w="100" w:type="dxa"/>
              <w:end w:w="120" w:type="dxa"/>
            </w:tcMar>
          </w:tcPr>
          <w:p>
            <w:r>
              <w:rPr>
                <w:rFonts w:ascii="Arial" w:hAnsi="Arial" w:eastAsia="Arial"/>
                <w:color w:val="222222"/>
                <w:sz w:val="17"/>
              </w:rPr>
              <w:t>Trước khi chiếm đoạt</w:t>
            </w:r>
          </w:p>
        </w:tc>
      </w:tr>
      <w:tr>
        <w:tc>
          <w:tcPr>
            <w:tcW w:type="dxa" w:w="1584"/>
            <w:tcMar>
              <w:top w:w="100" w:type="dxa"/>
              <w:start w:w="120" w:type="dxa"/>
              <w:bottom w:w="100" w:type="dxa"/>
              <w:end w:w="120" w:type="dxa"/>
            </w:tcMar>
          </w:tcPr>
          <w:p>
            <w:r>
              <w:rPr>
                <w:rFonts w:ascii="Arial" w:hAnsi="Arial" w:eastAsia="Arial"/>
                <w:color w:val="222222"/>
                <w:sz w:val="17"/>
              </w:rPr>
              <w:t>Trộm cắp</w:t>
            </w:r>
          </w:p>
        </w:tc>
        <w:tc>
          <w:tcPr>
            <w:tcW w:type="dxa" w:w="5760"/>
            <w:tcMar>
              <w:top w:w="100" w:type="dxa"/>
              <w:start w:w="120" w:type="dxa"/>
              <w:bottom w:w="100" w:type="dxa"/>
              <w:end w:w="120" w:type="dxa"/>
            </w:tcMar>
          </w:tcPr>
          <w:p>
            <w:r>
              <w:rPr>
                <w:rFonts w:ascii="Arial" w:hAnsi="Arial" w:eastAsia="Arial"/>
                <w:color w:val="222222"/>
                <w:sz w:val="17"/>
              </w:rPr>
              <w:t>Lén lút chiếm đoạt</w:t>
            </w:r>
          </w:p>
        </w:tc>
        <w:tc>
          <w:tcPr>
            <w:tcW w:type="dxa" w:w="2304"/>
            <w:tcMar>
              <w:top w:w="100" w:type="dxa"/>
              <w:start w:w="120" w:type="dxa"/>
              <w:bottom w:w="100" w:type="dxa"/>
              <w:end w:w="120" w:type="dxa"/>
            </w:tcMar>
          </w:tcPr>
          <w:p>
            <w:r>
              <w:rPr>
                <w:rFonts w:ascii="Arial" w:hAnsi="Arial" w:eastAsia="Arial"/>
                <w:color w:val="222222"/>
                <w:sz w:val="17"/>
              </w:rPr>
              <w:t>Trước khi chiếm đoạt</w:t>
            </w:r>
          </w:p>
        </w:tc>
      </w:tr>
      <w:tr>
        <w:tc>
          <w:tcPr>
            <w:tcW w:type="dxa" w:w="1584"/>
            <w:tcMar>
              <w:top w:w="100" w:type="dxa"/>
              <w:start w:w="120" w:type="dxa"/>
              <w:bottom w:w="100" w:type="dxa"/>
              <w:end w:w="120" w:type="dxa"/>
            </w:tcMar>
          </w:tcPr>
          <w:p>
            <w:r>
              <w:rPr>
                <w:rFonts w:ascii="Arial" w:hAnsi="Arial" w:eastAsia="Arial"/>
                <w:color w:val="222222"/>
                <w:sz w:val="17"/>
              </w:rPr>
              <w:t>Lừa đảo</w:t>
            </w:r>
          </w:p>
        </w:tc>
        <w:tc>
          <w:tcPr>
            <w:tcW w:type="dxa" w:w="5760"/>
            <w:tcMar>
              <w:top w:w="100" w:type="dxa"/>
              <w:start w:w="120" w:type="dxa"/>
              <w:bottom w:w="100" w:type="dxa"/>
              <w:end w:w="120" w:type="dxa"/>
            </w:tcMar>
          </w:tcPr>
          <w:p>
            <w:r>
              <w:rPr>
                <w:rFonts w:ascii="Arial" w:hAnsi="Arial" w:eastAsia="Arial"/>
                <w:color w:val="222222"/>
                <w:sz w:val="17"/>
              </w:rPr>
              <w:t>Gian dối có trước làm chủ tài sản tự nguyện giao tài sản</w:t>
            </w:r>
          </w:p>
        </w:tc>
        <w:tc>
          <w:tcPr>
            <w:tcW w:type="dxa" w:w="2304"/>
            <w:tcMar>
              <w:top w:w="100" w:type="dxa"/>
              <w:start w:w="120" w:type="dxa"/>
              <w:bottom w:w="100" w:type="dxa"/>
              <w:end w:w="120" w:type="dxa"/>
            </w:tcMar>
          </w:tcPr>
          <w:p>
            <w:r>
              <w:rPr>
                <w:rFonts w:ascii="Arial" w:hAnsi="Arial" w:eastAsia="Arial"/>
                <w:color w:val="222222"/>
                <w:sz w:val="17"/>
              </w:rPr>
              <w:t>Có trước việc giao tài sản</w:t>
            </w:r>
          </w:p>
        </w:tc>
      </w:tr>
      <w:tr>
        <w:tc>
          <w:tcPr>
            <w:tcW w:type="dxa" w:w="1584"/>
            <w:tcMar>
              <w:top w:w="100" w:type="dxa"/>
              <w:start w:w="120" w:type="dxa"/>
              <w:bottom w:w="100" w:type="dxa"/>
              <w:end w:w="120" w:type="dxa"/>
            </w:tcMar>
          </w:tcPr>
          <w:p>
            <w:r>
              <w:rPr>
                <w:rFonts w:ascii="Arial" w:hAnsi="Arial" w:eastAsia="Arial"/>
                <w:color w:val="222222"/>
                <w:sz w:val="17"/>
              </w:rPr>
              <w:t>Lạm dụng tín nhiệm</w:t>
            </w:r>
          </w:p>
        </w:tc>
        <w:tc>
          <w:tcPr>
            <w:tcW w:type="dxa" w:w="5760"/>
            <w:tcMar>
              <w:top w:w="100" w:type="dxa"/>
              <w:start w:w="120" w:type="dxa"/>
              <w:bottom w:w="100" w:type="dxa"/>
              <w:end w:w="120" w:type="dxa"/>
            </w:tcMar>
          </w:tcPr>
          <w:p>
            <w:r>
              <w:rPr>
                <w:rFonts w:ascii="Arial" w:hAnsi="Arial" w:eastAsia="Arial"/>
                <w:color w:val="222222"/>
                <w:sz w:val="17"/>
              </w:rPr>
              <w:t>Nhận tài sản hợp pháp rồi dùng thủ đoạn/điều kiện luật định để chiếm đoạt</w:t>
            </w:r>
          </w:p>
        </w:tc>
        <w:tc>
          <w:tcPr>
            <w:tcW w:type="dxa" w:w="2304"/>
            <w:tcMar>
              <w:top w:w="100" w:type="dxa"/>
              <w:start w:w="120" w:type="dxa"/>
              <w:bottom w:w="100" w:type="dxa"/>
              <w:end w:w="120" w:type="dxa"/>
            </w:tcMar>
          </w:tcPr>
          <w:p>
            <w:r>
              <w:rPr>
                <w:rFonts w:ascii="Arial" w:hAnsi="Arial" w:eastAsia="Arial"/>
                <w:color w:val="222222"/>
                <w:sz w:val="17"/>
              </w:rPr>
              <w:t>Thường phát sinh sau khi nhận tài sản</w:t>
            </w:r>
          </w:p>
        </w:tc>
      </w:tr>
    </w:tbl>
    <w:p>
      <w:r>
        <w:br w:type="page"/>
      </w:r>
    </w:p>
    <w:p>
      <w:pPr>
        <w:pStyle w:val="Heading1"/>
      </w:pPr>
      <w:r>
        <w:t>PHẦN III. BÀI TẬP ĐIỂN HÌNH CÓ HƯỚNG DẪN</w:t>
      </w:r>
    </w:p>
    <w:p>
      <w:r>
        <w:rPr>
          <w:rFonts w:ascii="Arial" w:hAnsi="Arial" w:eastAsia="Arial"/>
          <w:b/>
          <w:color w:val="C00000"/>
          <w:sz w:val="22"/>
        </w:rPr>
        <w:t xml:space="preserve">Nguyên tắc: </w:t>
      </w:r>
      <w:r>
        <w:rPr>
          <w:rFonts w:ascii="Arial" w:hAnsi="Arial" w:eastAsia="Arial"/>
          <w:color w:val="222222"/>
          <w:sz w:val="22"/>
        </w:rPr>
        <w:t>các bài có yếu tố hình sự/hành chính chỉ kết luận trong phạm vi dữ kiện đề cho; nếu thiếu tuổi, giá trị tài sản, lỗi hoặc hậu quả thì phải nêu điều kiện.</w:t>
      </w:r>
    </w:p>
    <w:p>
      <w:pPr>
        <w:pStyle w:val="Heading2"/>
      </w:pPr>
      <w:r>
        <w:t>Bài 1. Xác định quan hệ pháp luật dân sự</w:t>
      </w:r>
    </w:p>
    <w:p>
      <w:r>
        <w:rPr>
          <w:rFonts w:ascii="Arial" w:hAnsi="Arial" w:eastAsia="Arial"/>
          <w:b/>
          <w:color w:val="17365D"/>
          <w:sz w:val="22"/>
        </w:rPr>
        <w:t xml:space="preserve">Đề bài: </w:t>
      </w:r>
      <w:r>
        <w:rPr>
          <w:rFonts w:ascii="Arial" w:hAnsi="Arial" w:eastAsia="Arial"/>
          <w:color w:val="222222"/>
          <w:sz w:val="22"/>
        </w:rPr>
        <w:t>A vay B 100 triệu đồng trong 12 tháng, lãi theo thỏa thuận hợp pháp. B đã giao tiền nhưng đến hạn A không trả. Hãy xác định các yếu tố của quan hệ pháp luật.</w:t>
      </w:r>
    </w:p>
    <w:p>
      <w:pPr>
        <w:pStyle w:val="Heading3"/>
      </w:pPr>
      <w:r>
        <w:t>Gợi ý giải</w:t>
      </w:r>
    </w:p>
    <w:p>
      <w:pPr>
        <w:spacing w:after="80"/>
      </w:pPr>
      <w:r>
        <w:rPr>
          <w:rFonts w:ascii="Arial" w:hAnsi="Arial" w:eastAsia="Arial"/>
          <w:b/>
          <w:color w:val="222222"/>
          <w:sz w:val="22"/>
        </w:rPr>
        <w:t xml:space="preserve">Quan hệ pháp luật: </w:t>
      </w:r>
      <w:r>
        <w:rPr>
          <w:rFonts w:ascii="Arial" w:hAnsi="Arial" w:eastAsia="Arial"/>
          <w:color w:val="222222"/>
          <w:sz w:val="22"/>
        </w:rPr>
        <w:t>Quan hệ hợp đồng vay tài sản thuộc pháp luật dân sự.</w:t>
      </w:r>
    </w:p>
    <w:p>
      <w:pPr>
        <w:spacing w:after="80"/>
      </w:pPr>
      <w:r>
        <w:rPr>
          <w:rFonts w:ascii="Arial" w:hAnsi="Arial" w:eastAsia="Arial"/>
          <w:b/>
          <w:color w:val="222222"/>
          <w:sz w:val="22"/>
        </w:rPr>
        <w:t xml:space="preserve">Chủ thể: </w:t>
      </w:r>
      <w:r>
        <w:rPr>
          <w:rFonts w:ascii="Arial" w:hAnsi="Arial" w:eastAsia="Arial"/>
          <w:color w:val="222222"/>
          <w:sz w:val="22"/>
        </w:rPr>
        <w:t>A là bên vay; B là bên cho vay. Cần giả định cả hai có năng lực hành vi dân sự phù hợp.</w:t>
      </w:r>
    </w:p>
    <w:p>
      <w:pPr>
        <w:spacing w:after="80"/>
      </w:pPr>
      <w:r>
        <w:rPr>
          <w:rFonts w:ascii="Arial" w:hAnsi="Arial" w:eastAsia="Arial"/>
          <w:b/>
          <w:color w:val="222222"/>
          <w:sz w:val="22"/>
        </w:rPr>
        <w:t xml:space="preserve">Khách thể: </w:t>
      </w:r>
      <w:r>
        <w:rPr>
          <w:rFonts w:ascii="Arial" w:hAnsi="Arial" w:eastAsia="Arial"/>
          <w:color w:val="222222"/>
          <w:sz w:val="22"/>
        </w:rPr>
        <w:t>Lợi ích mà các bên hướng tới thông qua khoản tiền vay và việc hoàn trả; không nên chỉ ghi máy móc “100 triệu đồng”.</w:t>
      </w:r>
    </w:p>
    <w:p>
      <w:pPr>
        <w:spacing w:after="80"/>
      </w:pPr>
      <w:r>
        <w:rPr>
          <w:rFonts w:ascii="Arial" w:hAnsi="Arial" w:eastAsia="Arial"/>
          <w:b/>
          <w:color w:val="222222"/>
          <w:sz w:val="22"/>
        </w:rPr>
        <w:t xml:space="preserve">Nội dung: </w:t>
      </w:r>
      <w:r>
        <w:rPr>
          <w:rFonts w:ascii="Arial" w:hAnsi="Arial" w:eastAsia="Arial"/>
          <w:color w:val="222222"/>
          <w:sz w:val="22"/>
        </w:rPr>
        <w:t>B có nghĩa vụ giao tiền và quyền yêu cầu trả nợ; A có quyền nhận, sử dụng tiền và nghĩa vụ trả nợ gốc, lãi hợp pháp đúng hạn.</w:t>
      </w:r>
    </w:p>
    <w:p>
      <w:pPr>
        <w:spacing w:after="80"/>
      </w:pPr>
      <w:r>
        <w:rPr>
          <w:rFonts w:ascii="Arial" w:hAnsi="Arial" w:eastAsia="Arial"/>
          <w:b/>
          <w:color w:val="222222"/>
          <w:sz w:val="22"/>
        </w:rPr>
        <w:t xml:space="preserve">Sự kiện pháp lý: </w:t>
      </w:r>
      <w:r>
        <w:rPr>
          <w:rFonts w:ascii="Arial" w:hAnsi="Arial" w:eastAsia="Arial"/>
          <w:color w:val="222222"/>
          <w:sz w:val="22"/>
        </w:rPr>
        <w:t>Giao kết hợp đồng, giao tiền và việc đến hạn không trả.</w:t>
      </w:r>
    </w:p>
    <w:p>
      <w:pPr>
        <w:spacing w:after="80"/>
      </w:pPr>
      <w:r>
        <w:rPr>
          <w:rFonts w:ascii="Arial" w:hAnsi="Arial" w:eastAsia="Arial"/>
          <w:b/>
          <w:color w:val="222222"/>
          <w:sz w:val="22"/>
        </w:rPr>
        <w:t xml:space="preserve">Hậu quả: </w:t>
      </w:r>
      <w:r>
        <w:rPr>
          <w:rFonts w:ascii="Arial" w:hAnsi="Arial" w:eastAsia="Arial"/>
          <w:color w:val="222222"/>
          <w:sz w:val="22"/>
        </w:rPr>
        <w:t>B có quyền yêu cầu thực hiện nghĩa vụ, lãi chậm trả và bồi thường nếu đủ căn cứ.</w:t>
      </w:r>
    </w:p>
    <w:p>
      <w:pPr>
        <w:pStyle w:val="Heading2"/>
      </w:pPr>
      <w:r>
        <w:t>Bài 2. Giả định – quy định – chế tài</w:t>
      </w:r>
    </w:p>
    <w:p>
      <w:r>
        <w:rPr>
          <w:rFonts w:ascii="Arial" w:hAnsi="Arial" w:eastAsia="Arial"/>
          <w:b/>
          <w:color w:val="17365D"/>
          <w:sz w:val="22"/>
        </w:rPr>
        <w:t xml:space="preserve">Đề bài: </w:t>
      </w:r>
      <w:r>
        <w:rPr>
          <w:rFonts w:ascii="Arial" w:hAnsi="Arial" w:eastAsia="Arial"/>
          <w:color w:val="222222"/>
          <w:sz w:val="22"/>
        </w:rPr>
        <w:t>Quy tắc: “Người điều khiển xe mô tô khi tham gia giao thông phải đội mũ bảo hiểm đúng quy cách; vi phạm bị xử phạt theo quy định.” Hãy xác định cấu trúc logic.</w:t>
      </w:r>
    </w:p>
    <w:p>
      <w:pPr>
        <w:pStyle w:val="Heading3"/>
      </w:pPr>
      <w:r>
        <w:t>Gợi ý giải</w:t>
      </w:r>
    </w:p>
    <w:p>
      <w:pPr>
        <w:spacing w:after="80"/>
      </w:pPr>
      <w:r>
        <w:rPr>
          <w:rFonts w:ascii="Arial" w:hAnsi="Arial" w:eastAsia="Arial"/>
          <w:b/>
          <w:color w:val="222222"/>
          <w:sz w:val="22"/>
        </w:rPr>
        <w:t xml:space="preserve">Giả định: </w:t>
      </w:r>
      <w:r>
        <w:rPr>
          <w:rFonts w:ascii="Arial" w:hAnsi="Arial" w:eastAsia="Arial"/>
          <w:color w:val="222222"/>
          <w:sz w:val="22"/>
        </w:rPr>
        <w:t>Người điều khiển xe mô tô khi tham gia giao thông.</w:t>
      </w:r>
    </w:p>
    <w:p>
      <w:pPr>
        <w:spacing w:after="80"/>
      </w:pPr>
      <w:r>
        <w:rPr>
          <w:rFonts w:ascii="Arial" w:hAnsi="Arial" w:eastAsia="Arial"/>
          <w:b/>
          <w:color w:val="222222"/>
          <w:sz w:val="22"/>
        </w:rPr>
        <w:t xml:space="preserve">Quy định: </w:t>
      </w:r>
      <w:r>
        <w:rPr>
          <w:rFonts w:ascii="Arial" w:hAnsi="Arial" w:eastAsia="Arial"/>
          <w:color w:val="222222"/>
          <w:sz w:val="22"/>
        </w:rPr>
        <w:t>Phải đội mũ bảo hiểm đúng quy cách.</w:t>
      </w:r>
    </w:p>
    <w:p>
      <w:pPr>
        <w:spacing w:after="80"/>
      </w:pPr>
      <w:r>
        <w:rPr>
          <w:rFonts w:ascii="Arial" w:hAnsi="Arial" w:eastAsia="Arial"/>
          <w:b/>
          <w:color w:val="222222"/>
          <w:sz w:val="22"/>
        </w:rPr>
        <w:t xml:space="preserve">Chế tài: </w:t>
      </w:r>
      <w:r>
        <w:rPr>
          <w:rFonts w:ascii="Arial" w:hAnsi="Arial" w:eastAsia="Arial"/>
          <w:color w:val="222222"/>
          <w:sz w:val="22"/>
        </w:rPr>
        <w:t>Bị xử phạt theo quy định nếu không thực hiện.</w:t>
      </w:r>
    </w:p>
    <w:p>
      <w:pPr>
        <w:spacing w:after="80"/>
      </w:pPr>
      <w:r>
        <w:rPr>
          <w:rFonts w:ascii="Arial" w:hAnsi="Arial" w:eastAsia="Arial"/>
          <w:b/>
          <w:color w:val="222222"/>
          <w:sz w:val="22"/>
        </w:rPr>
        <w:t xml:space="preserve">Nhận xét: </w:t>
      </w:r>
      <w:r>
        <w:rPr>
          <w:rFonts w:ascii="Arial" w:hAnsi="Arial" w:eastAsia="Arial"/>
          <w:color w:val="222222"/>
          <w:sz w:val="22"/>
        </w:rPr>
        <w:t>Trong văn bản thực tế, mức phạt có thể nằm ở điều khoản hoặc văn bản khác; cấu trúc quy phạm không nhất thiết nằm trọn trong một câu.</w:t>
      </w:r>
    </w:p>
    <w:p>
      <w:pPr>
        <w:pStyle w:val="Heading2"/>
      </w:pPr>
      <w:r>
        <w:t>Bài 3. Phân tích cấu thành vi phạm pháp luật</w:t>
      </w:r>
    </w:p>
    <w:p>
      <w:r>
        <w:rPr>
          <w:rFonts w:ascii="Arial" w:hAnsi="Arial" w:eastAsia="Arial"/>
          <w:b/>
          <w:color w:val="17365D"/>
          <w:sz w:val="22"/>
        </w:rPr>
        <w:t xml:space="preserve">Đề bài: </w:t>
      </w:r>
      <w:r>
        <w:rPr>
          <w:rFonts w:ascii="Arial" w:hAnsi="Arial" w:eastAsia="Arial"/>
          <w:color w:val="222222"/>
          <w:sz w:val="22"/>
        </w:rPr>
        <w:t>A, 23 tuổi, lén lấy 50 triệu đồng trong tủ của H rồi dùng tiền mua xe và đóng học phí. Phân tích bốn yếu tố cấu thành.</w:t>
      </w:r>
    </w:p>
    <w:p>
      <w:pPr>
        <w:pStyle w:val="Heading3"/>
      </w:pPr>
      <w:r>
        <w:t>Gợi ý giải</w:t>
      </w:r>
    </w:p>
    <w:p>
      <w:pPr>
        <w:spacing w:after="80"/>
      </w:pPr>
      <w:r>
        <w:rPr>
          <w:rFonts w:ascii="Arial" w:hAnsi="Arial" w:eastAsia="Arial"/>
          <w:b/>
          <w:color w:val="222222"/>
          <w:sz w:val="22"/>
        </w:rPr>
        <w:t xml:space="preserve">Mặt khách quan: </w:t>
      </w:r>
      <w:r>
        <w:rPr>
          <w:rFonts w:ascii="Arial" w:hAnsi="Arial" w:eastAsia="Arial"/>
          <w:color w:val="222222"/>
          <w:sz w:val="22"/>
        </w:rPr>
        <w:t>Hành vi lén lút lấy 50 triệu; hậu quả H mất tài sản; có quan hệ nhân quả trực tiếp.</w:t>
      </w:r>
    </w:p>
    <w:p>
      <w:pPr>
        <w:spacing w:after="80"/>
      </w:pPr>
      <w:r>
        <w:rPr>
          <w:rFonts w:ascii="Arial" w:hAnsi="Arial" w:eastAsia="Arial"/>
          <w:b/>
          <w:color w:val="222222"/>
          <w:sz w:val="22"/>
        </w:rPr>
        <w:t xml:space="preserve">Mặt chủ quan: </w:t>
      </w:r>
      <w:r>
        <w:rPr>
          <w:rFonts w:ascii="Arial" w:hAnsi="Arial" w:eastAsia="Arial"/>
          <w:color w:val="222222"/>
          <w:sz w:val="22"/>
        </w:rPr>
        <w:t>Lỗi cố ý trực tiếp: A nhận thức rõ và mong muốn chiếm đoạt. Động cơ đóng học phí không loại trừ lỗi; mục đích là chiếm đoạt tài sản.</w:t>
      </w:r>
    </w:p>
    <w:p>
      <w:pPr>
        <w:spacing w:after="80"/>
      </w:pPr>
      <w:r>
        <w:rPr>
          <w:rFonts w:ascii="Arial" w:hAnsi="Arial" w:eastAsia="Arial"/>
          <w:b/>
          <w:color w:val="222222"/>
          <w:sz w:val="22"/>
        </w:rPr>
        <w:t xml:space="preserve">Chủ thể: </w:t>
      </w:r>
      <w:r>
        <w:rPr>
          <w:rFonts w:ascii="Arial" w:hAnsi="Arial" w:eastAsia="Arial"/>
          <w:color w:val="222222"/>
          <w:sz w:val="22"/>
        </w:rPr>
        <w:t>A 23 tuổi, giả định có năng lực trách nhiệm hình sự.</w:t>
      </w:r>
    </w:p>
    <w:p>
      <w:pPr>
        <w:spacing w:after="80"/>
      </w:pPr>
      <w:r>
        <w:rPr>
          <w:rFonts w:ascii="Arial" w:hAnsi="Arial" w:eastAsia="Arial"/>
          <w:b/>
          <w:color w:val="222222"/>
          <w:sz w:val="22"/>
        </w:rPr>
        <w:t xml:space="preserve">Khách thể: </w:t>
      </w:r>
      <w:r>
        <w:rPr>
          <w:rFonts w:ascii="Arial" w:hAnsi="Arial" w:eastAsia="Arial"/>
          <w:color w:val="222222"/>
          <w:sz w:val="22"/>
        </w:rPr>
        <w:t>Quan hệ sở hữu tài sản, không phải bản thân H.</w:t>
      </w:r>
    </w:p>
    <w:p>
      <w:pPr>
        <w:spacing w:after="80"/>
      </w:pPr>
      <w:r>
        <w:rPr>
          <w:rFonts w:ascii="Arial" w:hAnsi="Arial" w:eastAsia="Arial"/>
          <w:b/>
          <w:color w:val="222222"/>
          <w:sz w:val="22"/>
        </w:rPr>
        <w:t xml:space="preserve">Định hướng tội danh: </w:t>
      </w:r>
      <w:r>
        <w:rPr>
          <w:rFonts w:ascii="Arial" w:hAnsi="Arial" w:eastAsia="Arial"/>
          <w:color w:val="222222"/>
          <w:sz w:val="22"/>
        </w:rPr>
        <w:t>Có dấu hiệu trộm cắp tài sản vì hành vi chiếm đoạt được thực hiện lén lút; kết luận cụ thể cần đối chiếu đầy đủ BLHS.</w:t>
      </w:r>
    </w:p>
    <w:tbl>
      <w:tblPr>
        <w:tblStyle w:val="TableGrid"/>
        <w:tblW w:type="auto" w:w="0"/>
        <w:jc w:val="center"/>
        <w:tblLayout w:type="fixed"/>
        <w:tblLook w:firstColumn="1" w:firstRow="1" w:lastColumn="0" w:lastRow="0" w:noHBand="0" w:noVBand="1" w:val="04A0"/>
      </w:tblPr>
      <w:tblGrid>
        <w:gridCol w:w="9749"/>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Lưu ý chấm điểm: </w:t>
            </w:r>
            <w:r>
              <w:rPr>
                <w:rFonts w:ascii="Arial" w:hAnsi="Arial" w:eastAsia="Arial"/>
                <w:color w:val="17365D"/>
                <w:sz w:val="21"/>
              </w:rPr>
              <w:t>Không được ghi “không có hậu quả”, “cố ý gián tiếp” hoặc “khách thể là anh H”.</w:t>
            </w:r>
          </w:p>
        </w:tc>
      </w:tr>
    </w:tbl>
    <w:p>
      <w:pPr>
        <w:spacing w:after="0"/>
      </w:pPr>
    </w:p>
    <w:p>
      <w:pPr>
        <w:pStyle w:val="Heading2"/>
      </w:pPr>
      <w:r>
        <w:t>Bài 4. Phân biệt tội chiếm đoạt qua tình huống sửa xe</w:t>
      </w:r>
    </w:p>
    <w:p>
      <w:r>
        <w:rPr>
          <w:rFonts w:ascii="Arial" w:hAnsi="Arial" w:eastAsia="Arial"/>
          <w:b/>
          <w:color w:val="17365D"/>
          <w:sz w:val="22"/>
        </w:rPr>
        <w:t xml:space="preserve">Đề bài: </w:t>
      </w:r>
      <w:r>
        <w:rPr>
          <w:rFonts w:ascii="Arial" w:hAnsi="Arial" w:eastAsia="Arial"/>
          <w:color w:val="222222"/>
          <w:sz w:val="22"/>
        </w:rPr>
        <w:t>A nhờ H sửa chiếc xe chết máy. Sau khi sửa, H bất ngờ nổ máy chạy đi và bán xe. H không dùng vũ lực hoặc đe dọa A. Hành vi có phải tội cướp không?</w:t>
      </w:r>
    </w:p>
    <w:p>
      <w:pPr>
        <w:pStyle w:val="Heading3"/>
      </w:pPr>
      <w:r>
        <w:t>Gợi ý giải</w:t>
      </w:r>
    </w:p>
    <w:p>
      <w:pPr>
        <w:spacing w:after="80"/>
      </w:pPr>
      <w:r>
        <w:rPr>
          <w:rFonts w:ascii="Arial" w:hAnsi="Arial" w:eastAsia="Arial"/>
          <w:b/>
          <w:color w:val="222222"/>
          <w:sz w:val="22"/>
        </w:rPr>
        <w:t xml:space="preserve">Loại trừ tội cướp: </w:t>
      </w:r>
      <w:r>
        <w:rPr>
          <w:rFonts w:ascii="Arial" w:hAnsi="Arial" w:eastAsia="Arial"/>
          <w:color w:val="222222"/>
          <w:sz w:val="22"/>
        </w:rPr>
        <w:t>Không có hành vi dùng vũ lực, đe dọa dùng ngay tức khắc vũ lực hoặc thủ đoạn làm A không thể chống cự.</w:t>
      </w:r>
    </w:p>
    <w:p>
      <w:pPr>
        <w:spacing w:after="80"/>
      </w:pPr>
      <w:r>
        <w:rPr>
          <w:rFonts w:ascii="Arial" w:hAnsi="Arial" w:eastAsia="Arial"/>
          <w:b/>
          <w:color w:val="222222"/>
          <w:sz w:val="22"/>
        </w:rPr>
        <w:t xml:space="preserve">Hướng định tội: </w:t>
      </w:r>
      <w:r>
        <w:rPr>
          <w:rFonts w:ascii="Arial" w:hAnsi="Arial" w:eastAsia="Arial"/>
          <w:color w:val="222222"/>
          <w:sz w:val="22"/>
        </w:rPr>
        <w:t>Cần làm rõ H chiếm đoạt công khai trong hoàn cảnh A có khả năng hay không có khả năng ngăn cản; từ đó xem xét công nhiên chiếm đoạt hoặc tội danh phù hợp khác.</w:t>
      </w:r>
    </w:p>
    <w:p>
      <w:pPr>
        <w:spacing w:after="80"/>
      </w:pPr>
      <w:r>
        <w:rPr>
          <w:rFonts w:ascii="Arial" w:hAnsi="Arial" w:eastAsia="Arial"/>
          <w:b/>
          <w:color w:val="222222"/>
          <w:sz w:val="22"/>
        </w:rPr>
        <w:t xml:space="preserve">Kết luận: </w:t>
      </w:r>
      <w:r>
        <w:rPr>
          <w:rFonts w:ascii="Arial" w:hAnsi="Arial" w:eastAsia="Arial"/>
          <w:color w:val="222222"/>
          <w:sz w:val="22"/>
        </w:rPr>
        <w:t>Không đủ căn cứ gọi là tội cướp chỉ vì H công khai lấy xe.</w:t>
      </w:r>
    </w:p>
    <w:tbl>
      <w:tblPr>
        <w:tblStyle w:val="TableGrid"/>
        <w:tblW w:type="auto" w:w="0"/>
        <w:jc w:val="center"/>
        <w:tblLayout w:type="fixed"/>
        <w:tblLook w:firstColumn="1" w:firstRow="1" w:lastColumn="0" w:lastRow="0" w:noHBand="0" w:noVBand="1" w:val="04A0"/>
      </w:tblPr>
      <w:tblGrid>
        <w:gridCol w:w="9749"/>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Lưu ý chấm điểm: </w:t>
            </w:r>
            <w:r>
              <w:rPr>
                <w:rFonts w:ascii="Arial" w:hAnsi="Arial" w:eastAsia="Arial"/>
                <w:color w:val="17365D"/>
                <w:sz w:val="21"/>
              </w:rPr>
              <w:t>Điểm quan trọng là phương thức chiếm đoạt, không phải cách gọi đời thường “cướp xe”.</w:t>
            </w:r>
          </w:p>
        </w:tc>
      </w:tr>
    </w:tbl>
    <w:p>
      <w:pPr>
        <w:spacing w:after="0"/>
      </w:pPr>
    </w:p>
    <w:p>
      <w:pPr>
        <w:pStyle w:val="Heading2"/>
      </w:pPr>
      <w:r>
        <w:t>Bài 5. Vé số trúng thưởng được giao giữ</w:t>
      </w:r>
    </w:p>
    <w:p>
      <w:r>
        <w:rPr>
          <w:rFonts w:ascii="Arial" w:hAnsi="Arial" w:eastAsia="Arial"/>
          <w:b/>
          <w:color w:val="17365D"/>
          <w:sz w:val="22"/>
        </w:rPr>
        <w:t xml:space="preserve">Đề bài: </w:t>
      </w:r>
      <w:r>
        <w:rPr>
          <w:rFonts w:ascii="Arial" w:hAnsi="Arial" w:eastAsia="Arial"/>
          <w:color w:val="222222"/>
          <w:sz w:val="22"/>
        </w:rPr>
        <w:t>C mua vé số rồi đồng ý để Đ cầm giữ. Khi biết trúng 150 triệu đồng, Đ bí mật nhận thưởng và nói dối C rằng vé không trúng. Xác định hướng xử lý.</w:t>
      </w:r>
    </w:p>
    <w:p>
      <w:pPr>
        <w:pStyle w:val="Heading3"/>
      </w:pPr>
      <w:r>
        <w:t>Gợi ý giải</w:t>
      </w:r>
    </w:p>
    <w:p>
      <w:pPr>
        <w:spacing w:after="80"/>
      </w:pPr>
      <w:r>
        <w:rPr>
          <w:rFonts w:ascii="Arial" w:hAnsi="Arial" w:eastAsia="Arial"/>
          <w:b/>
          <w:color w:val="222222"/>
          <w:sz w:val="22"/>
        </w:rPr>
        <w:t xml:space="preserve">Quan hệ ban đầu: </w:t>
      </w:r>
      <w:r>
        <w:rPr>
          <w:rFonts w:ascii="Arial" w:hAnsi="Arial" w:eastAsia="Arial"/>
          <w:color w:val="222222"/>
          <w:sz w:val="22"/>
        </w:rPr>
        <w:t>Đ nhận giữ vé hợp pháp theo sự đồng ý của C.</w:t>
      </w:r>
    </w:p>
    <w:p>
      <w:pPr>
        <w:spacing w:after="80"/>
      </w:pPr>
      <w:r>
        <w:rPr>
          <w:rFonts w:ascii="Arial" w:hAnsi="Arial" w:eastAsia="Arial"/>
          <w:b/>
          <w:color w:val="222222"/>
          <w:sz w:val="22"/>
        </w:rPr>
        <w:t xml:space="preserve">Thời điểm gian dối: </w:t>
      </w:r>
      <w:r>
        <w:rPr>
          <w:rFonts w:ascii="Arial" w:hAnsi="Arial" w:eastAsia="Arial"/>
          <w:color w:val="222222"/>
          <w:sz w:val="22"/>
        </w:rPr>
        <w:t>Thủ đoạn gian dối xuất hiện sau khi Đ đã nhận vé, nhằm che giấu việc chiếm đoạt.</w:t>
      </w:r>
    </w:p>
    <w:p>
      <w:pPr>
        <w:spacing w:after="80"/>
      </w:pPr>
      <w:r>
        <w:rPr>
          <w:rFonts w:ascii="Arial" w:hAnsi="Arial" w:eastAsia="Arial"/>
          <w:b/>
          <w:color w:val="222222"/>
          <w:sz w:val="22"/>
        </w:rPr>
        <w:t xml:space="preserve">Hướng tội danh: </w:t>
      </w:r>
      <w:r>
        <w:rPr>
          <w:rFonts w:ascii="Arial" w:hAnsi="Arial" w:eastAsia="Arial"/>
          <w:color w:val="222222"/>
          <w:sz w:val="22"/>
        </w:rPr>
        <w:t>Dấu hiệu phù hợp hơn với lạm dụng tín nhiệm chiếm đoạt tài sản so với lừa đảo; tuy nhiên cần làm rõ quyền sở hữu vé, thỏa thuận giữa các bên và đầy đủ điều kiện luật định.</w:t>
      </w:r>
    </w:p>
    <w:p>
      <w:pPr>
        <w:spacing w:after="80"/>
      </w:pPr>
      <w:r>
        <w:rPr>
          <w:rFonts w:ascii="Arial" w:hAnsi="Arial" w:eastAsia="Arial"/>
          <w:b/>
          <w:color w:val="222222"/>
          <w:sz w:val="22"/>
        </w:rPr>
        <w:t xml:space="preserve">Lỗi: </w:t>
      </w:r>
      <w:r>
        <w:rPr>
          <w:rFonts w:ascii="Arial" w:hAnsi="Arial" w:eastAsia="Arial"/>
          <w:color w:val="222222"/>
          <w:sz w:val="22"/>
        </w:rPr>
        <w:t>Cố ý trực tiếp; mục đích chiếm đoạt tiền thưởng.</w:t>
      </w:r>
    </w:p>
    <w:p>
      <w:pPr>
        <w:pStyle w:val="Heading2"/>
      </w:pPr>
      <w:r>
        <w:t>Bài 6. Người giữ tài sản do phạm tội mà có</w:t>
      </w:r>
    </w:p>
    <w:p>
      <w:r>
        <w:rPr>
          <w:rFonts w:ascii="Arial" w:hAnsi="Arial" w:eastAsia="Arial"/>
          <w:b/>
          <w:color w:val="17365D"/>
          <w:sz w:val="22"/>
        </w:rPr>
        <w:t xml:space="preserve">Đề bài: </w:t>
      </w:r>
      <w:r>
        <w:rPr>
          <w:rFonts w:ascii="Arial" w:hAnsi="Arial" w:eastAsia="Arial"/>
          <w:color w:val="222222"/>
          <w:sz w:val="22"/>
        </w:rPr>
        <w:t>Sau khi lấy xe của A, H gửi xe tại nhà B. Phân tích trách nhiệm của B trong ba trường hợp: không biết; biết sau khi nhận; biết và hứa hẹn trước.</w:t>
      </w:r>
    </w:p>
    <w:p>
      <w:pPr>
        <w:pStyle w:val="Heading3"/>
      </w:pPr>
      <w:r>
        <w:t>Gợi ý giải</w:t>
      </w:r>
    </w:p>
    <w:p>
      <w:pPr>
        <w:spacing w:after="80"/>
      </w:pPr>
      <w:r>
        <w:rPr>
          <w:rFonts w:ascii="Arial" w:hAnsi="Arial" w:eastAsia="Arial"/>
          <w:b/>
          <w:color w:val="222222"/>
          <w:sz w:val="22"/>
        </w:rPr>
        <w:t xml:space="preserve">Không biết: </w:t>
      </w:r>
      <w:r>
        <w:rPr>
          <w:rFonts w:ascii="Arial" w:hAnsi="Arial" w:eastAsia="Arial"/>
          <w:color w:val="222222"/>
          <w:sz w:val="22"/>
        </w:rPr>
        <w:t>B không có lỗi nên không chịu trách nhiệm hình sự về việc chứa chấp.</w:t>
      </w:r>
    </w:p>
    <w:p>
      <w:pPr>
        <w:spacing w:after="80"/>
      </w:pPr>
      <w:r>
        <w:rPr>
          <w:rFonts w:ascii="Arial" w:hAnsi="Arial" w:eastAsia="Arial"/>
          <w:b/>
          <w:color w:val="222222"/>
          <w:sz w:val="22"/>
        </w:rPr>
        <w:t xml:space="preserve">Biết sau khi nhận: </w:t>
      </w:r>
      <w:r>
        <w:rPr>
          <w:rFonts w:ascii="Arial" w:hAnsi="Arial" w:eastAsia="Arial"/>
          <w:color w:val="222222"/>
          <w:sz w:val="22"/>
        </w:rPr>
        <w:t>Nếu sau đó biết rõ tài sản do phạm tội mà có nhưng vẫn cất giấu, tiêu thụ và đủ dấu hiệu luật định, có thể bị xem xét về tội chứa chấp hoặc tiêu thụ tài sản do người khác phạm tội mà có.</w:t>
      </w:r>
    </w:p>
    <w:p>
      <w:pPr>
        <w:spacing w:after="80"/>
      </w:pPr>
      <w:r>
        <w:rPr>
          <w:rFonts w:ascii="Arial" w:hAnsi="Arial" w:eastAsia="Arial"/>
          <w:b/>
          <w:color w:val="222222"/>
          <w:sz w:val="22"/>
        </w:rPr>
        <w:t xml:space="preserve">Hứa hẹn trước: </w:t>
      </w:r>
      <w:r>
        <w:rPr>
          <w:rFonts w:ascii="Arial" w:hAnsi="Arial" w:eastAsia="Arial"/>
          <w:color w:val="222222"/>
          <w:sz w:val="22"/>
        </w:rPr>
        <w:t>Nếu B đã hứa hẹn trước và hỗ trợ H theo kế hoạch chung, có thể được xem xét với vai trò đồng phạm của tội chiếm đoạt tương ứng.</w:t>
      </w:r>
    </w:p>
    <w:p>
      <w:pPr>
        <w:pStyle w:val="Heading2"/>
      </w:pPr>
      <w:r>
        <w:t>Bài 7. Tai nạn giao thông và dữ kiện còn thiếu</w:t>
      </w:r>
    </w:p>
    <w:p>
      <w:r>
        <w:rPr>
          <w:rFonts w:ascii="Arial" w:hAnsi="Arial" w:eastAsia="Arial"/>
          <w:b/>
          <w:color w:val="17365D"/>
          <w:sz w:val="22"/>
        </w:rPr>
        <w:t xml:space="preserve">Đề bài: </w:t>
      </w:r>
      <w:r>
        <w:rPr>
          <w:rFonts w:ascii="Arial" w:hAnsi="Arial" w:eastAsia="Arial"/>
          <w:color w:val="222222"/>
          <w:sz w:val="22"/>
        </w:rPr>
        <w:t>K điều khiển xe lấn trái để vượt, va chạm làm T bị thương tích 60%. Có thể kết luận K phạm tội vi phạm quy định về tham gia giao thông đường bộ không?</w:t>
      </w:r>
    </w:p>
    <w:p>
      <w:pPr>
        <w:pStyle w:val="Heading3"/>
      </w:pPr>
      <w:r>
        <w:t>Gợi ý giải</w:t>
      </w:r>
    </w:p>
    <w:p>
      <w:pPr>
        <w:spacing w:after="80"/>
      </w:pPr>
      <w:r>
        <w:rPr>
          <w:rFonts w:ascii="Arial" w:hAnsi="Arial" w:eastAsia="Arial"/>
          <w:b/>
          <w:color w:val="222222"/>
          <w:sz w:val="22"/>
        </w:rPr>
        <w:t xml:space="preserve">Hành vi: </w:t>
      </w:r>
      <w:r>
        <w:rPr>
          <w:rFonts w:ascii="Arial" w:hAnsi="Arial" w:eastAsia="Arial"/>
          <w:color w:val="222222"/>
          <w:sz w:val="22"/>
        </w:rPr>
        <w:t>Có dấu hiệu vi phạm quy tắc giao thông và lỗi vô ý.</w:t>
      </w:r>
    </w:p>
    <w:p>
      <w:pPr>
        <w:spacing w:after="80"/>
      </w:pPr>
      <w:r>
        <w:rPr>
          <w:rFonts w:ascii="Arial" w:hAnsi="Arial" w:eastAsia="Arial"/>
          <w:b/>
          <w:color w:val="222222"/>
          <w:sz w:val="22"/>
        </w:rPr>
        <w:t xml:space="preserve">Hậu quả: </w:t>
      </w:r>
      <w:r>
        <w:rPr>
          <w:rFonts w:ascii="Arial" w:hAnsi="Arial" w:eastAsia="Arial"/>
          <w:color w:val="222222"/>
          <w:sz w:val="22"/>
        </w:rPr>
        <w:t>Thương tích 60% cho một người, nếu chỉ có dữ kiện này, chưa đạt ngưỡng thông thường 61% của trường hợp cơ bản về thương tích một người.</w:t>
      </w:r>
    </w:p>
    <w:p>
      <w:pPr>
        <w:spacing w:after="80"/>
      </w:pPr>
      <w:r>
        <w:rPr>
          <w:rFonts w:ascii="Arial" w:hAnsi="Arial" w:eastAsia="Arial"/>
          <w:b/>
          <w:color w:val="222222"/>
          <w:sz w:val="22"/>
        </w:rPr>
        <w:t xml:space="preserve">Dữ kiện cần bổ sung: </w:t>
      </w:r>
      <w:r>
        <w:rPr>
          <w:rFonts w:ascii="Arial" w:hAnsi="Arial" w:eastAsia="Arial"/>
          <w:color w:val="222222"/>
          <w:sz w:val="22"/>
        </w:rPr>
        <w:t>Có chết người không; có thêm người bị thương; thiệt hại tài sản; nồng độ cồn, ma túy; giấy phép; bỏ chạy hoặc không cứu giúp; các tình tiết định khung khác.</w:t>
      </w:r>
    </w:p>
    <w:p>
      <w:pPr>
        <w:spacing w:after="80"/>
      </w:pPr>
      <w:r>
        <w:rPr>
          <w:rFonts w:ascii="Arial" w:hAnsi="Arial" w:eastAsia="Arial"/>
          <w:b/>
          <w:color w:val="222222"/>
          <w:sz w:val="22"/>
        </w:rPr>
        <w:t xml:space="preserve">Kết luận: </w:t>
      </w:r>
      <w:r>
        <w:rPr>
          <w:rFonts w:ascii="Arial" w:hAnsi="Arial" w:eastAsia="Arial"/>
          <w:color w:val="222222"/>
          <w:sz w:val="22"/>
        </w:rPr>
        <w:t>Chưa đủ dữ kiện để khẳng định trách nhiệm hình sự; vẫn có thể phát sinh xử phạt hành chính và trách nhiệm bồi thường dân sự.</w:t>
      </w:r>
    </w:p>
    <w:p>
      <w:pPr>
        <w:pStyle w:val="Heading2"/>
      </w:pPr>
      <w:r>
        <w:t>Bài 8. Chia thừa kế theo pháp luật</w:t>
      </w:r>
    </w:p>
    <w:p>
      <w:r>
        <w:rPr>
          <w:rFonts w:ascii="Arial" w:hAnsi="Arial" w:eastAsia="Arial"/>
          <w:b/>
          <w:color w:val="17365D"/>
          <w:sz w:val="22"/>
        </w:rPr>
        <w:t xml:space="preserve">Đề bài: </w:t>
      </w:r>
      <w:r>
        <w:rPr>
          <w:rFonts w:ascii="Arial" w:hAnsi="Arial" w:eastAsia="Arial"/>
          <w:color w:val="222222"/>
          <w:sz w:val="22"/>
        </w:rPr>
        <w:t>Ông D và bà M có tài sản chung 900 triệu đồng. Ông D có tài sản riêng 100 triệu đồng. Ông D chết không để lại di chúc; cha mẹ ông đã mất, hàng thừa kế thứ nhất còn bà M và hai người con A, B. Không có nghĩa vụ tài sản.</w:t>
      </w:r>
    </w:p>
    <w:p>
      <w:pPr>
        <w:pStyle w:val="Heading3"/>
      </w:pPr>
      <w:r>
        <w:t>Gợi ý giải</w:t>
      </w:r>
    </w:p>
    <w:p>
      <w:pPr>
        <w:spacing w:after="80"/>
      </w:pPr>
      <w:r>
        <w:rPr>
          <w:rFonts w:ascii="Arial" w:hAnsi="Arial" w:eastAsia="Arial"/>
          <w:b/>
          <w:color w:val="222222"/>
          <w:sz w:val="22"/>
        </w:rPr>
        <w:t xml:space="preserve">Bước 1 – tách tài sản chung: </w:t>
      </w:r>
      <w:r>
        <w:rPr>
          <w:rFonts w:ascii="Arial" w:hAnsi="Arial" w:eastAsia="Arial"/>
          <w:color w:val="222222"/>
          <w:sz w:val="22"/>
        </w:rPr>
        <w:t>Phần của bà M là 450 triệu; phần của ông D trong tài sản chung là 450 triệu.</w:t>
      </w:r>
    </w:p>
    <w:p>
      <w:pPr>
        <w:spacing w:after="80"/>
      </w:pPr>
      <w:r>
        <w:rPr>
          <w:rFonts w:ascii="Arial" w:hAnsi="Arial" w:eastAsia="Arial"/>
          <w:b/>
          <w:color w:val="222222"/>
          <w:sz w:val="22"/>
        </w:rPr>
        <w:t xml:space="preserve">Bước 2 – xác định di sản: </w:t>
      </w:r>
      <w:r>
        <w:rPr>
          <w:rFonts w:ascii="Arial" w:hAnsi="Arial" w:eastAsia="Arial"/>
          <w:color w:val="222222"/>
          <w:sz w:val="22"/>
        </w:rPr>
        <w:t>450 triệu + 100 triệu tài sản riêng = 550 triệu.</w:t>
      </w:r>
    </w:p>
    <w:p>
      <w:pPr>
        <w:spacing w:after="80"/>
      </w:pPr>
      <w:r>
        <w:rPr>
          <w:rFonts w:ascii="Arial" w:hAnsi="Arial" w:eastAsia="Arial"/>
          <w:b/>
          <w:color w:val="222222"/>
          <w:sz w:val="22"/>
        </w:rPr>
        <w:t xml:space="preserve">Bước 3 – xác định người thừa kế: </w:t>
      </w:r>
      <w:r>
        <w:rPr>
          <w:rFonts w:ascii="Arial" w:hAnsi="Arial" w:eastAsia="Arial"/>
          <w:color w:val="222222"/>
          <w:sz w:val="22"/>
        </w:rPr>
        <w:t>Bà M, A và B cùng hàng thừa kế thứ nhất.</w:t>
      </w:r>
    </w:p>
    <w:p>
      <w:pPr>
        <w:spacing w:after="80"/>
      </w:pPr>
      <w:r>
        <w:rPr>
          <w:rFonts w:ascii="Arial" w:hAnsi="Arial" w:eastAsia="Arial"/>
          <w:b/>
          <w:color w:val="222222"/>
          <w:sz w:val="22"/>
        </w:rPr>
        <w:t xml:space="preserve">Bước 4 – chia: </w:t>
      </w:r>
      <w:r>
        <w:rPr>
          <w:rFonts w:ascii="Arial" w:hAnsi="Arial" w:eastAsia="Arial"/>
          <w:color w:val="222222"/>
          <w:sz w:val="22"/>
        </w:rPr>
        <w:t>Mỗi người hưởng 550/3 = 183,33 triệu đồng.</w:t>
      </w:r>
    </w:p>
    <w:p>
      <w:pPr>
        <w:spacing w:after="80"/>
      </w:pPr>
      <w:r>
        <w:rPr>
          <w:rFonts w:ascii="Arial" w:hAnsi="Arial" w:eastAsia="Arial"/>
          <w:b/>
          <w:color w:val="222222"/>
          <w:sz w:val="22"/>
        </w:rPr>
        <w:t xml:space="preserve">Kết quả cuối: </w:t>
      </w:r>
      <w:r>
        <w:rPr>
          <w:rFonts w:ascii="Arial" w:hAnsi="Arial" w:eastAsia="Arial"/>
          <w:color w:val="222222"/>
          <w:sz w:val="22"/>
        </w:rPr>
        <w:t>Bà M có 450 + 183,33 = 633,33 triệu; A và B mỗi người 183,33 triệu.</w:t>
      </w:r>
    </w:p>
    <w:tbl>
      <w:tblPr>
        <w:tblStyle w:val="TableGrid"/>
        <w:tblW w:type="auto" w:w="0"/>
        <w:jc w:val="center"/>
        <w:tblLayout w:type="fixed"/>
        <w:tblLook w:firstColumn="1" w:firstRow="1" w:lastColumn="0" w:lastRow="0" w:noHBand="0" w:noVBand="1" w:val="04A0"/>
      </w:tblPr>
      <w:tblGrid>
        <w:gridCol w:w="9749"/>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Lưu ý chấm điểm: </w:t>
            </w:r>
            <w:r>
              <w:rPr>
                <w:rFonts w:ascii="Arial" w:hAnsi="Arial" w:eastAsia="Arial"/>
                <w:color w:val="17365D"/>
                <w:sz w:val="21"/>
              </w:rPr>
              <w:t>Không được lấy toàn bộ 1 tỷ đồng làm di sản; luôn tách tài sản chung trước.</w:t>
            </w:r>
          </w:p>
        </w:tc>
      </w:tr>
    </w:tbl>
    <w:p>
      <w:pPr>
        <w:spacing w:after="0"/>
      </w:pPr>
    </w:p>
    <w:p>
      <w:pPr>
        <w:pStyle w:val="Heading2"/>
      </w:pPr>
      <w:r>
        <w:t>Bài 9. Di chúc và người thừa kế bắt buộc</w:t>
      </w:r>
    </w:p>
    <w:p>
      <w:r>
        <w:rPr>
          <w:rFonts w:ascii="Arial" w:hAnsi="Arial" w:eastAsia="Arial"/>
          <w:b/>
          <w:color w:val="17365D"/>
          <w:sz w:val="22"/>
        </w:rPr>
        <w:t xml:space="preserve">Đề bài: </w:t>
      </w:r>
      <w:r>
        <w:rPr>
          <w:rFonts w:ascii="Arial" w:hAnsi="Arial" w:eastAsia="Arial"/>
          <w:color w:val="222222"/>
          <w:sz w:val="22"/>
        </w:rPr>
        <w:t>Ông X có di sản 900 triệu đồng, lập di chúc để lại toàn bộ cho bạn Y. Ông X còn vợ, một con 10 tuổi và một con 25 tuổi khỏe mạnh. Giả định di chúc hợp pháp và không ai từ chối nhận.</w:t>
      </w:r>
    </w:p>
    <w:p>
      <w:pPr>
        <w:pStyle w:val="Heading3"/>
      </w:pPr>
      <w:r>
        <w:t>Gợi ý giải</w:t>
      </w:r>
    </w:p>
    <w:p>
      <w:pPr>
        <w:spacing w:after="80"/>
      </w:pPr>
      <w:r>
        <w:rPr>
          <w:rFonts w:ascii="Arial" w:hAnsi="Arial" w:eastAsia="Arial"/>
          <w:b/>
          <w:color w:val="222222"/>
          <w:sz w:val="22"/>
        </w:rPr>
        <w:t xml:space="preserve">Suất theo pháp luật: </w:t>
      </w:r>
      <w:r>
        <w:rPr>
          <w:rFonts w:ascii="Arial" w:hAnsi="Arial" w:eastAsia="Arial"/>
          <w:color w:val="222222"/>
          <w:sz w:val="22"/>
        </w:rPr>
        <w:t>Nếu chia theo pháp luật, hàng thứ nhất gồm vợ và hai người con: mỗi suất 300 triệu.</w:t>
      </w:r>
    </w:p>
    <w:p>
      <w:pPr>
        <w:spacing w:after="80"/>
      </w:pPr>
      <w:r>
        <w:rPr>
          <w:rFonts w:ascii="Arial" w:hAnsi="Arial" w:eastAsia="Arial"/>
          <w:b/>
          <w:color w:val="222222"/>
          <w:sz w:val="22"/>
        </w:rPr>
        <w:t xml:space="preserve">Người hưởng bắt buộc: </w:t>
      </w:r>
      <w:r>
        <w:rPr>
          <w:rFonts w:ascii="Arial" w:hAnsi="Arial" w:eastAsia="Arial"/>
          <w:color w:val="222222"/>
          <w:sz w:val="22"/>
        </w:rPr>
        <w:t>Vợ và con 10 tuổi thuộc diện hưởng không phụ thuộc nội dung di chúc; người con 25 tuổi khỏe mạnh không thuộc diện này.</w:t>
      </w:r>
    </w:p>
    <w:p>
      <w:pPr>
        <w:spacing w:after="80"/>
      </w:pPr>
      <w:r>
        <w:rPr>
          <w:rFonts w:ascii="Arial" w:hAnsi="Arial" w:eastAsia="Arial"/>
          <w:b/>
          <w:color w:val="222222"/>
          <w:sz w:val="22"/>
        </w:rPr>
        <w:t xml:space="preserve">Phần bắt buộc: </w:t>
      </w:r>
      <w:r>
        <w:rPr>
          <w:rFonts w:ascii="Arial" w:hAnsi="Arial" w:eastAsia="Arial"/>
          <w:color w:val="222222"/>
          <w:sz w:val="22"/>
        </w:rPr>
        <w:t>Mỗi người thuộc diện bắt buộc hưởng ít nhất 2/3 suất pháp luật = 200 triệu.</w:t>
      </w:r>
    </w:p>
    <w:p>
      <w:pPr>
        <w:spacing w:after="80"/>
      </w:pPr>
      <w:r>
        <w:rPr>
          <w:rFonts w:ascii="Arial" w:hAnsi="Arial" w:eastAsia="Arial"/>
          <w:b/>
          <w:color w:val="222222"/>
          <w:sz w:val="22"/>
        </w:rPr>
        <w:t xml:space="preserve">Phần còn lại: </w:t>
      </w:r>
      <w:r>
        <w:rPr>
          <w:rFonts w:ascii="Arial" w:hAnsi="Arial" w:eastAsia="Arial"/>
          <w:color w:val="222222"/>
          <w:sz w:val="22"/>
        </w:rPr>
        <w:t>Y nhận 900 – 200 – 200 = 500 triệu, nếu không có nghĩa vụ và tình tiết khác.</w:t>
      </w:r>
    </w:p>
    <w:p>
      <w:pPr>
        <w:pStyle w:val="Heading2"/>
      </w:pPr>
      <w:r>
        <w:t>Bài 10. Tài sản khi chung sống không đăng ký kết hôn</w:t>
      </w:r>
    </w:p>
    <w:p>
      <w:r>
        <w:rPr>
          <w:rFonts w:ascii="Arial" w:hAnsi="Arial" w:eastAsia="Arial"/>
          <w:b/>
          <w:color w:val="17365D"/>
          <w:sz w:val="22"/>
        </w:rPr>
        <w:t xml:space="preserve">Đề bài: </w:t>
      </w:r>
      <w:r>
        <w:rPr>
          <w:rFonts w:ascii="Arial" w:hAnsi="Arial" w:eastAsia="Arial"/>
          <w:color w:val="222222"/>
          <w:sz w:val="22"/>
        </w:rPr>
        <w:t>Ông P đang có vợ hợp pháp nhưng chung sống với bà Q và cùng góp tiền mua nhà 1,2 tỷ đồng. Ông P chết. Có thể tự động coi bà Q là vợ và chia đôi nhà hay không?</w:t>
      </w:r>
    </w:p>
    <w:p>
      <w:pPr>
        <w:pStyle w:val="Heading3"/>
      </w:pPr>
      <w:r>
        <w:t>Gợi ý giải</w:t>
      </w:r>
    </w:p>
    <w:p>
      <w:pPr>
        <w:spacing w:after="80"/>
      </w:pPr>
      <w:r>
        <w:rPr>
          <w:rFonts w:ascii="Arial" w:hAnsi="Arial" w:eastAsia="Arial"/>
          <w:b/>
          <w:color w:val="222222"/>
          <w:sz w:val="22"/>
        </w:rPr>
        <w:t xml:space="preserve">Quan hệ hôn nhân: </w:t>
      </w:r>
      <w:r>
        <w:rPr>
          <w:rFonts w:ascii="Arial" w:hAnsi="Arial" w:eastAsia="Arial"/>
          <w:color w:val="222222"/>
          <w:sz w:val="22"/>
        </w:rPr>
        <w:t>Bà Q không đương nhiên là vợ hợp pháp và không thuộc hàng thừa kế với tư cách vợ.</w:t>
      </w:r>
    </w:p>
    <w:p>
      <w:pPr>
        <w:spacing w:after="80"/>
      </w:pPr>
      <w:r>
        <w:rPr>
          <w:rFonts w:ascii="Arial" w:hAnsi="Arial" w:eastAsia="Arial"/>
          <w:b/>
          <w:color w:val="222222"/>
          <w:sz w:val="22"/>
        </w:rPr>
        <w:t xml:space="preserve">Quan hệ tài sản: </w:t>
      </w:r>
      <w:r>
        <w:rPr>
          <w:rFonts w:ascii="Arial" w:hAnsi="Arial" w:eastAsia="Arial"/>
          <w:color w:val="222222"/>
          <w:sz w:val="22"/>
        </w:rPr>
        <w:t>Phải xác định công sức đóng góp và thỏa thuận để xác định phần sở hữu của từng người; không mặc nhiên 50/50 nếu không có căn cứ.</w:t>
      </w:r>
    </w:p>
    <w:p>
      <w:pPr>
        <w:spacing w:after="80"/>
      </w:pPr>
      <w:r>
        <w:rPr>
          <w:rFonts w:ascii="Arial" w:hAnsi="Arial" w:eastAsia="Arial"/>
          <w:b/>
          <w:color w:val="222222"/>
          <w:sz w:val="22"/>
        </w:rPr>
        <w:t xml:space="preserve">Di sản: </w:t>
      </w:r>
      <w:r>
        <w:rPr>
          <w:rFonts w:ascii="Arial" w:hAnsi="Arial" w:eastAsia="Arial"/>
          <w:color w:val="222222"/>
          <w:sz w:val="22"/>
        </w:rPr>
        <w:t>Chỉ phần tài sản thuộc ông P sau khi xác định đồng sở hữu mới là di sản.</w:t>
      </w:r>
    </w:p>
    <w:p>
      <w:pPr>
        <w:spacing w:after="80"/>
      </w:pPr>
      <w:r>
        <w:rPr>
          <w:rFonts w:ascii="Arial" w:hAnsi="Arial" w:eastAsia="Arial"/>
          <w:b/>
          <w:color w:val="222222"/>
          <w:sz w:val="22"/>
        </w:rPr>
        <w:t xml:space="preserve">Con chung: </w:t>
      </w:r>
      <w:r>
        <w:rPr>
          <w:rFonts w:ascii="Arial" w:hAnsi="Arial" w:eastAsia="Arial"/>
          <w:color w:val="222222"/>
          <w:sz w:val="22"/>
        </w:rPr>
        <w:t>Con của ông P, nếu quan hệ cha con được xác định, có quyền thừa kế bình đẳng với các con khác.</w:t>
      </w:r>
    </w:p>
    <w:p>
      <w:pPr>
        <w:pStyle w:val="Heading2"/>
      </w:pPr>
      <w:r>
        <w:t>Bài 11. Đơn phương chấm dứt hợp đồng lao động</w:t>
      </w:r>
    </w:p>
    <w:p>
      <w:r>
        <w:rPr>
          <w:rFonts w:ascii="Arial" w:hAnsi="Arial" w:eastAsia="Arial"/>
          <w:b/>
          <w:color w:val="17365D"/>
          <w:sz w:val="22"/>
        </w:rPr>
        <w:t xml:space="preserve">Đề bài: </w:t>
      </w:r>
      <w:r>
        <w:rPr>
          <w:rFonts w:ascii="Arial" w:hAnsi="Arial" w:eastAsia="Arial"/>
          <w:color w:val="222222"/>
          <w:sz w:val="22"/>
        </w:rPr>
        <w:t>Người lao động L làm theo hợp đồng không xác định thời hạn, gửi thông báo nghỉ việc trước 45 ngày và bàn giao công việc. Công ty không đồng ý nên giữ lương tháng cuối.</w:t>
      </w:r>
    </w:p>
    <w:p>
      <w:pPr>
        <w:pStyle w:val="Heading3"/>
      </w:pPr>
      <w:r>
        <w:t>Gợi ý giải</w:t>
      </w:r>
    </w:p>
    <w:p>
      <w:pPr>
        <w:spacing w:after="80"/>
      </w:pPr>
      <w:r>
        <w:rPr>
          <w:rFonts w:ascii="Arial" w:hAnsi="Arial" w:eastAsia="Arial"/>
          <w:b/>
          <w:color w:val="222222"/>
          <w:sz w:val="22"/>
        </w:rPr>
        <w:t xml:space="preserve">Quyền đơn phương: </w:t>
      </w:r>
      <w:r>
        <w:rPr>
          <w:rFonts w:ascii="Arial" w:hAnsi="Arial" w:eastAsia="Arial"/>
          <w:color w:val="222222"/>
          <w:sz w:val="22"/>
        </w:rPr>
        <w:t>Người lao động có quyền đơn phương chấm dứt hợp đồng khi tuân thủ thời hạn báo trước, trừ trường hợp được nghỉ không cần báo trước.</w:t>
      </w:r>
    </w:p>
    <w:p>
      <w:pPr>
        <w:spacing w:after="80"/>
      </w:pPr>
      <w:r>
        <w:rPr>
          <w:rFonts w:ascii="Arial" w:hAnsi="Arial" w:eastAsia="Arial"/>
          <w:b/>
          <w:color w:val="222222"/>
          <w:sz w:val="22"/>
        </w:rPr>
        <w:t xml:space="preserve">Đánh giá: </w:t>
      </w:r>
      <w:r>
        <w:rPr>
          <w:rFonts w:ascii="Arial" w:hAnsi="Arial" w:eastAsia="Arial"/>
          <w:color w:val="222222"/>
          <w:sz w:val="22"/>
        </w:rPr>
        <w:t>Nếu L thông báo hợp lệ trước 45 ngày và không có cam kết đặc biệt hợp pháp khác, việc công ty “không đồng ý” không làm mất quyền nghỉ.</w:t>
      </w:r>
    </w:p>
    <w:p>
      <w:pPr>
        <w:spacing w:after="80"/>
      </w:pPr>
      <w:r>
        <w:rPr>
          <w:rFonts w:ascii="Arial" w:hAnsi="Arial" w:eastAsia="Arial"/>
          <w:b/>
          <w:color w:val="222222"/>
          <w:sz w:val="22"/>
        </w:rPr>
        <w:t xml:space="preserve">Nghĩa vụ công ty: </w:t>
      </w:r>
      <w:r>
        <w:rPr>
          <w:rFonts w:ascii="Arial" w:hAnsi="Arial" w:eastAsia="Arial"/>
          <w:color w:val="222222"/>
          <w:sz w:val="22"/>
        </w:rPr>
        <w:t>Phải thanh toán các khoản liên quan trong thời hạn luật định, hoàn thành thủ tục bảo hiểm và xác nhận giấy tờ; không được giữ lương chỉ vì không đồng ý.</w:t>
      </w:r>
    </w:p>
    <w:p>
      <w:pPr>
        <w:pStyle w:val="Heading2"/>
      </w:pPr>
      <w:r>
        <w:t>Bài 12. Tranh chấp lao động có bắt buộc hòa giải?</w:t>
      </w:r>
    </w:p>
    <w:p>
      <w:r>
        <w:rPr>
          <w:rFonts w:ascii="Arial" w:hAnsi="Arial" w:eastAsia="Arial"/>
          <w:b/>
          <w:color w:val="17365D"/>
          <w:sz w:val="22"/>
        </w:rPr>
        <w:t xml:space="preserve">Đề bài: </w:t>
      </w:r>
      <w:r>
        <w:rPr>
          <w:rFonts w:ascii="Arial" w:hAnsi="Arial" w:eastAsia="Arial"/>
          <w:color w:val="222222"/>
          <w:sz w:val="22"/>
        </w:rPr>
        <w:t>Người lao động bị công ty sa thải và yêu cầu hủy quyết định, nhận trở lại làm việc. Có bắt buộc phải qua hòa giải viên trước khi khởi kiện không?</w:t>
      </w:r>
    </w:p>
    <w:p>
      <w:pPr>
        <w:pStyle w:val="Heading3"/>
      </w:pPr>
      <w:r>
        <w:t>Gợi ý giải</w:t>
      </w:r>
    </w:p>
    <w:p>
      <w:pPr>
        <w:spacing w:after="80"/>
      </w:pPr>
      <w:r>
        <w:rPr>
          <w:rFonts w:ascii="Arial" w:hAnsi="Arial" w:eastAsia="Arial"/>
          <w:b/>
          <w:color w:val="222222"/>
          <w:sz w:val="22"/>
        </w:rPr>
        <w:t xml:space="preserve">Loại tranh chấp: </w:t>
      </w:r>
      <w:r>
        <w:rPr>
          <w:rFonts w:ascii="Arial" w:hAnsi="Arial" w:eastAsia="Arial"/>
          <w:color w:val="222222"/>
          <w:sz w:val="22"/>
        </w:rPr>
        <w:t>Tranh chấp lao động cá nhân về xử lý kỷ luật sa thải.</w:t>
      </w:r>
    </w:p>
    <w:p>
      <w:pPr>
        <w:spacing w:after="80"/>
      </w:pPr>
      <w:r>
        <w:rPr>
          <w:rFonts w:ascii="Arial" w:hAnsi="Arial" w:eastAsia="Arial"/>
          <w:b/>
          <w:color w:val="222222"/>
          <w:sz w:val="22"/>
        </w:rPr>
        <w:t xml:space="preserve">Thủ tục: </w:t>
      </w:r>
      <w:r>
        <w:rPr>
          <w:rFonts w:ascii="Arial" w:hAnsi="Arial" w:eastAsia="Arial"/>
          <w:color w:val="222222"/>
          <w:sz w:val="22"/>
        </w:rPr>
        <w:t>Đây là nhóm tranh chấp không bắt buộc phải qua hòa giải viên lao động trước khi yêu cầu Tòa án giải quyết.</w:t>
      </w:r>
    </w:p>
    <w:p>
      <w:pPr>
        <w:spacing w:after="80"/>
      </w:pPr>
      <w:r>
        <w:rPr>
          <w:rFonts w:ascii="Arial" w:hAnsi="Arial" w:eastAsia="Arial"/>
          <w:b/>
          <w:color w:val="222222"/>
          <w:sz w:val="22"/>
        </w:rPr>
        <w:t xml:space="preserve">Lưu ý: </w:t>
      </w:r>
      <w:r>
        <w:rPr>
          <w:rFonts w:ascii="Arial" w:hAnsi="Arial" w:eastAsia="Arial"/>
          <w:color w:val="222222"/>
          <w:sz w:val="22"/>
        </w:rPr>
        <w:t>Người lao động vẫn có thể lựa chọn hòa giải nếu thấy phù hợp, nhưng phải chú ý thời hiệu yêu cầu giải quyết.</w:t>
      </w:r>
    </w:p>
    <w:p>
      <w:pPr>
        <w:pStyle w:val="Heading2"/>
      </w:pPr>
      <w:r>
        <w:t>Bài 13. Phân biệt tố cáo và khiếu nại</w:t>
      </w:r>
    </w:p>
    <w:p>
      <w:r>
        <w:rPr>
          <w:rFonts w:ascii="Arial" w:hAnsi="Arial" w:eastAsia="Arial"/>
          <w:b/>
          <w:color w:val="17365D"/>
          <w:sz w:val="22"/>
        </w:rPr>
        <w:t xml:space="preserve">Đề bài: </w:t>
      </w:r>
      <w:r>
        <w:rPr>
          <w:rFonts w:ascii="Arial" w:hAnsi="Arial" w:eastAsia="Arial"/>
          <w:color w:val="222222"/>
          <w:sz w:val="22"/>
        </w:rPr>
        <w:t>A bị Chủ tịch UBND ban hành quyết định xử phạt mà A cho là trái luật. B phát hiện cán bộ nhận hối lộ trong khi thi hành công vụ. A và B nên sử dụng cơ chế nào?</w:t>
      </w:r>
    </w:p>
    <w:p>
      <w:pPr>
        <w:pStyle w:val="Heading3"/>
      </w:pPr>
      <w:r>
        <w:t>Gợi ý giải</w:t>
      </w:r>
    </w:p>
    <w:p>
      <w:pPr>
        <w:spacing w:after="80"/>
      </w:pPr>
      <w:r>
        <w:rPr>
          <w:rFonts w:ascii="Arial" w:hAnsi="Arial" w:eastAsia="Arial"/>
          <w:b/>
          <w:color w:val="222222"/>
          <w:sz w:val="22"/>
        </w:rPr>
        <w:t xml:space="preserve">Trường hợp A: </w:t>
      </w:r>
      <w:r>
        <w:rPr>
          <w:rFonts w:ascii="Arial" w:hAnsi="Arial" w:eastAsia="Arial"/>
          <w:color w:val="222222"/>
          <w:sz w:val="22"/>
        </w:rPr>
        <w:t>Khiếu nại quyết định hành chính hoặc khởi kiện vụ án hành chính để bảo vệ quyền, lợi ích trực tiếp của mình.</w:t>
      </w:r>
    </w:p>
    <w:p>
      <w:pPr>
        <w:spacing w:after="80"/>
      </w:pPr>
      <w:r>
        <w:rPr>
          <w:rFonts w:ascii="Arial" w:hAnsi="Arial" w:eastAsia="Arial"/>
          <w:b/>
          <w:color w:val="222222"/>
          <w:sz w:val="22"/>
        </w:rPr>
        <w:t xml:space="preserve">Trường hợp B: </w:t>
      </w:r>
      <w:r>
        <w:rPr>
          <w:rFonts w:ascii="Arial" w:hAnsi="Arial" w:eastAsia="Arial"/>
          <w:color w:val="222222"/>
          <w:sz w:val="22"/>
        </w:rPr>
        <w:t>Tố cáo hành vi vi phạm pháp luật; nếu có dấu hiệu tội phạm thì thông tin có thể được chuyển đến cơ quan tiến hành tố tụng.</w:t>
      </w:r>
    </w:p>
    <w:p>
      <w:pPr>
        <w:spacing w:after="80"/>
      </w:pPr>
      <w:r>
        <w:rPr>
          <w:rFonts w:ascii="Arial" w:hAnsi="Arial" w:eastAsia="Arial"/>
          <w:b/>
          <w:color w:val="222222"/>
          <w:sz w:val="22"/>
        </w:rPr>
        <w:t xml:space="preserve">Phân biệt cốt lõi: </w:t>
      </w:r>
      <w:r>
        <w:rPr>
          <w:rFonts w:ascii="Arial" w:hAnsi="Arial" w:eastAsia="Arial"/>
          <w:color w:val="222222"/>
          <w:sz w:val="22"/>
        </w:rPr>
        <w:t>Khiếu nại hướng tới quyết định/hành vi xâm phạm trực tiếp quyền của người khiếu nại; tố cáo hướng tới hành vi vi phạm pháp luật.</w:t>
      </w:r>
    </w:p>
    <w:p>
      <w:pPr>
        <w:pStyle w:val="Heading2"/>
      </w:pPr>
      <w:r>
        <w:t>Bài 14. Hiệu lực của văn bản quy phạm pháp luật</w:t>
      </w:r>
    </w:p>
    <w:p>
      <w:r>
        <w:rPr>
          <w:rFonts w:ascii="Arial" w:hAnsi="Arial" w:eastAsia="Arial"/>
          <w:b/>
          <w:color w:val="17365D"/>
          <w:sz w:val="22"/>
        </w:rPr>
        <w:t xml:space="preserve">Đề bài: </w:t>
      </w:r>
      <w:r>
        <w:rPr>
          <w:rFonts w:ascii="Arial" w:hAnsi="Arial" w:eastAsia="Arial"/>
          <w:color w:val="222222"/>
          <w:sz w:val="22"/>
        </w:rPr>
        <w:t>Một thông tư quy định nghĩa vụ mới trái với luật do Quốc hội ban hành. Cơ quan áp dụng nên xử lý nhận thức pháp lý như thế nào?</w:t>
      </w:r>
    </w:p>
    <w:p>
      <w:pPr>
        <w:pStyle w:val="Heading3"/>
      </w:pPr>
      <w:r>
        <w:t>Gợi ý giải</w:t>
      </w:r>
    </w:p>
    <w:p>
      <w:pPr>
        <w:spacing w:after="80"/>
      </w:pPr>
      <w:r>
        <w:rPr>
          <w:rFonts w:ascii="Arial" w:hAnsi="Arial" w:eastAsia="Arial"/>
          <w:b/>
          <w:color w:val="222222"/>
          <w:sz w:val="22"/>
        </w:rPr>
        <w:t xml:space="preserve">Nguyên tắc: </w:t>
      </w:r>
      <w:r>
        <w:rPr>
          <w:rFonts w:ascii="Arial" w:hAnsi="Arial" w:eastAsia="Arial"/>
          <w:color w:val="222222"/>
          <w:sz w:val="22"/>
        </w:rPr>
        <w:t>Văn bản cấp dưới phải phù hợp văn bản có hiệu lực pháp lý cao hơn.</w:t>
      </w:r>
    </w:p>
    <w:p>
      <w:pPr>
        <w:spacing w:after="80"/>
      </w:pPr>
      <w:r>
        <w:rPr>
          <w:rFonts w:ascii="Arial" w:hAnsi="Arial" w:eastAsia="Arial"/>
          <w:b/>
          <w:color w:val="222222"/>
          <w:sz w:val="22"/>
        </w:rPr>
        <w:t xml:space="preserve">Áp dụng: </w:t>
      </w:r>
      <w:r>
        <w:rPr>
          <w:rFonts w:ascii="Arial" w:hAnsi="Arial" w:eastAsia="Arial"/>
          <w:color w:val="222222"/>
          <w:sz w:val="22"/>
        </w:rPr>
        <w:t>Không thể lấy thông tư trái luật làm căn cứ hợp pháp để hạn chế quyền hoặc đặt nghĩa vụ trái luật.</w:t>
      </w:r>
    </w:p>
    <w:p>
      <w:pPr>
        <w:spacing w:after="80"/>
      </w:pPr>
      <w:r>
        <w:rPr>
          <w:rFonts w:ascii="Arial" w:hAnsi="Arial" w:eastAsia="Arial"/>
          <w:b/>
          <w:color w:val="222222"/>
          <w:sz w:val="22"/>
        </w:rPr>
        <w:t xml:space="preserve">Xử lý văn bản: </w:t>
      </w:r>
      <w:r>
        <w:rPr>
          <w:rFonts w:ascii="Arial" w:hAnsi="Arial" w:eastAsia="Arial"/>
          <w:color w:val="222222"/>
          <w:sz w:val="22"/>
        </w:rPr>
        <w:t>Cơ quan, người có thẩm quyền phải kiểm tra, kiến nghị đình chỉ, bãi bỏ hoặc xử lý theo cơ chế kiểm tra văn bản; người học cần nêu đúng thẩm quyền cụ thể nếu đề cung cấp chủ thể ban hành.</w:t>
      </w:r>
    </w:p>
    <w:p>
      <w:pPr>
        <w:pStyle w:val="Heading2"/>
      </w:pPr>
      <w:r>
        <w:t>Bài 15. Bài tổng hợp trách nhiệm pháp lý</w:t>
      </w:r>
    </w:p>
    <w:p>
      <w:r>
        <w:rPr>
          <w:rFonts w:ascii="Arial" w:hAnsi="Arial" w:eastAsia="Arial"/>
          <w:b/>
          <w:color w:val="17365D"/>
          <w:sz w:val="22"/>
        </w:rPr>
        <w:t xml:space="preserve">Đề bài: </w:t>
      </w:r>
      <w:r>
        <w:rPr>
          <w:rFonts w:ascii="Arial" w:hAnsi="Arial" w:eastAsia="Arial"/>
          <w:color w:val="222222"/>
          <w:sz w:val="22"/>
        </w:rPr>
        <w:t>Nhân viên N cố ý làm hỏng máy của công ty trị giá 20 triệu đồng vì mâu thuẫn với quản lý. N đồng thời vi phạm nội quy lao động. Hãy xác định các loại trách nhiệm có thể phát sinh.</w:t>
      </w:r>
    </w:p>
    <w:p>
      <w:pPr>
        <w:pStyle w:val="Heading3"/>
      </w:pPr>
      <w:r>
        <w:t>Gợi ý giải</w:t>
      </w:r>
    </w:p>
    <w:p>
      <w:pPr>
        <w:spacing w:after="80"/>
      </w:pPr>
      <w:r>
        <w:rPr>
          <w:rFonts w:ascii="Arial" w:hAnsi="Arial" w:eastAsia="Arial"/>
          <w:b/>
          <w:color w:val="222222"/>
          <w:sz w:val="22"/>
        </w:rPr>
        <w:t xml:space="preserve">Kỷ luật lao động: </w:t>
      </w:r>
      <w:r>
        <w:rPr>
          <w:rFonts w:ascii="Arial" w:hAnsi="Arial" w:eastAsia="Arial"/>
          <w:color w:val="222222"/>
          <w:sz w:val="22"/>
        </w:rPr>
        <w:t>Có thể bị xử lý theo nội quy và Bộ luật Lao động nếu bảo đảm căn cứ, nguyên tắc, thời hiệu và thủ tục.</w:t>
      </w:r>
    </w:p>
    <w:p>
      <w:pPr>
        <w:spacing w:after="80"/>
      </w:pPr>
      <w:r>
        <w:rPr>
          <w:rFonts w:ascii="Arial" w:hAnsi="Arial" w:eastAsia="Arial"/>
          <w:b/>
          <w:color w:val="222222"/>
          <w:sz w:val="22"/>
        </w:rPr>
        <w:t xml:space="preserve">Dân sự/vật chất: </w:t>
      </w:r>
      <w:r>
        <w:rPr>
          <w:rFonts w:ascii="Arial" w:hAnsi="Arial" w:eastAsia="Arial"/>
          <w:color w:val="222222"/>
          <w:sz w:val="22"/>
        </w:rPr>
        <w:t>Có thể phải bồi thường thiệt hại theo căn cứ và phạm vi trách nhiệm phù hợp.</w:t>
      </w:r>
    </w:p>
    <w:p>
      <w:pPr>
        <w:spacing w:after="80"/>
      </w:pPr>
      <w:r>
        <w:rPr>
          <w:rFonts w:ascii="Arial" w:hAnsi="Arial" w:eastAsia="Arial"/>
          <w:b/>
          <w:color w:val="222222"/>
          <w:sz w:val="22"/>
        </w:rPr>
        <w:t xml:space="preserve">Hành chính hoặc hình sự: </w:t>
      </w:r>
      <w:r>
        <w:rPr>
          <w:rFonts w:ascii="Arial" w:hAnsi="Arial" w:eastAsia="Arial"/>
          <w:color w:val="222222"/>
          <w:sz w:val="22"/>
        </w:rPr>
        <w:t>Tùy giá trị, tính chất, hậu quả và các dấu hiệu luật định, hành vi hủy hoại tài sản có thể bị xử phạt hành chính hoặc truy cứu hình sự.</w:t>
      </w:r>
    </w:p>
    <w:p>
      <w:pPr>
        <w:spacing w:after="80"/>
      </w:pPr>
      <w:r>
        <w:rPr>
          <w:rFonts w:ascii="Arial" w:hAnsi="Arial" w:eastAsia="Arial"/>
          <w:b/>
          <w:color w:val="222222"/>
          <w:sz w:val="22"/>
        </w:rPr>
        <w:t xml:space="preserve">Nguyên tắc: </w:t>
      </w:r>
      <w:r>
        <w:rPr>
          <w:rFonts w:ascii="Arial" w:hAnsi="Arial" w:eastAsia="Arial"/>
          <w:color w:val="222222"/>
          <w:sz w:val="22"/>
        </w:rPr>
        <w:t>Một hành vi có thể làm phát sinh nhiều loại trách nhiệm có mục đích khác nhau; không được kết luận hình sự nếu chưa đủ dấu hiệu.</w:t>
      </w:r>
    </w:p>
    <w:p>
      <w:r>
        <w:br w:type="page"/>
      </w:r>
    </w:p>
    <w:p>
      <w:pPr>
        <w:pStyle w:val="Heading1"/>
      </w:pPr>
      <w:r>
        <w:t>PHẦN IV. CHECKLIST TRƯỚC KHI ĐI THI</w:t>
      </w:r>
    </w:p>
    <w:p>
      <w:pPr>
        <w:spacing w:after="140"/>
        <w:ind w:left="216"/>
      </w:pPr>
      <w:r>
        <w:rPr>
          <w:rFonts w:ascii="Arial" w:hAnsi="Arial" w:eastAsia="Arial"/>
          <w:b/>
          <w:color w:val="1F4E79"/>
          <w:sz w:val="26"/>
        </w:rPr>
        <w:t xml:space="preserve">☐  </w:t>
      </w:r>
      <w:r>
        <w:rPr>
          <w:rFonts w:ascii="Arial" w:hAnsi="Arial" w:eastAsia="Arial"/>
          <w:color w:val="222222"/>
          <w:sz w:val="22"/>
        </w:rPr>
        <w:t>Tôi phân biệt được quy phạm pháp luật với điều luật và văn bản QPPL.</w:t>
      </w:r>
    </w:p>
    <w:p>
      <w:pPr>
        <w:spacing w:after="140"/>
        <w:ind w:left="216"/>
      </w:pPr>
      <w:r>
        <w:rPr>
          <w:rFonts w:ascii="Arial" w:hAnsi="Arial" w:eastAsia="Arial"/>
          <w:b/>
          <w:color w:val="1F4E79"/>
          <w:sz w:val="26"/>
        </w:rPr>
        <w:t xml:space="preserve">☐  </w:t>
      </w:r>
      <w:r>
        <w:rPr>
          <w:rFonts w:ascii="Arial" w:hAnsi="Arial" w:eastAsia="Arial"/>
          <w:color w:val="222222"/>
          <w:sz w:val="22"/>
        </w:rPr>
        <w:t>Tôi nhớ ba yếu tố của quan hệ pháp luật: chủ thể – nội dung – khách thể.</w:t>
      </w:r>
    </w:p>
    <w:p>
      <w:pPr>
        <w:spacing w:after="140"/>
        <w:ind w:left="216"/>
      </w:pPr>
      <w:r>
        <w:rPr>
          <w:rFonts w:ascii="Arial" w:hAnsi="Arial" w:eastAsia="Arial"/>
          <w:b/>
          <w:color w:val="1F4E79"/>
          <w:sz w:val="26"/>
        </w:rPr>
        <w:t xml:space="preserve">☐  </w:t>
      </w:r>
      <w:r>
        <w:rPr>
          <w:rFonts w:ascii="Arial" w:hAnsi="Arial" w:eastAsia="Arial"/>
          <w:color w:val="222222"/>
          <w:sz w:val="22"/>
        </w:rPr>
        <w:t>Tôi nhớ bốn dấu hiệu của vi phạm pháp luật.</w:t>
      </w:r>
    </w:p>
    <w:p>
      <w:pPr>
        <w:spacing w:after="140"/>
        <w:ind w:left="216"/>
      </w:pPr>
      <w:r>
        <w:rPr>
          <w:rFonts w:ascii="Arial" w:hAnsi="Arial" w:eastAsia="Arial"/>
          <w:b/>
          <w:color w:val="1F4E79"/>
          <w:sz w:val="26"/>
        </w:rPr>
        <w:t xml:space="preserve">☐  </w:t>
      </w:r>
      <w:r>
        <w:rPr>
          <w:rFonts w:ascii="Arial" w:hAnsi="Arial" w:eastAsia="Arial"/>
          <w:color w:val="222222"/>
          <w:sz w:val="22"/>
        </w:rPr>
        <w:t>Tôi phân tích được mặt khách quan – mặt chủ quan – chủ thể – khách thể.</w:t>
      </w:r>
    </w:p>
    <w:p>
      <w:pPr>
        <w:spacing w:after="140"/>
        <w:ind w:left="216"/>
      </w:pPr>
      <w:r>
        <w:rPr>
          <w:rFonts w:ascii="Arial" w:hAnsi="Arial" w:eastAsia="Arial"/>
          <w:b/>
          <w:color w:val="1F4E79"/>
          <w:sz w:val="26"/>
        </w:rPr>
        <w:t xml:space="preserve">☐  </w:t>
      </w:r>
      <w:r>
        <w:rPr>
          <w:rFonts w:ascii="Arial" w:hAnsi="Arial" w:eastAsia="Arial"/>
          <w:color w:val="222222"/>
          <w:sz w:val="22"/>
        </w:rPr>
        <w:t>Tôi phân biệt được sáu tội chiếm đoạt tài sản thường gặp.</w:t>
      </w:r>
    </w:p>
    <w:p>
      <w:pPr>
        <w:spacing w:after="140"/>
        <w:ind w:left="216"/>
      </w:pPr>
      <w:r>
        <w:rPr>
          <w:rFonts w:ascii="Arial" w:hAnsi="Arial" w:eastAsia="Arial"/>
          <w:b/>
          <w:color w:val="1F4E79"/>
          <w:sz w:val="26"/>
        </w:rPr>
        <w:t xml:space="preserve">☐  </w:t>
      </w:r>
      <w:r>
        <w:rPr>
          <w:rFonts w:ascii="Arial" w:hAnsi="Arial" w:eastAsia="Arial"/>
          <w:color w:val="222222"/>
          <w:sz w:val="22"/>
        </w:rPr>
        <w:t>Tôi luôn tách tài sản chung trước khi chia thừa kế.</w:t>
      </w:r>
    </w:p>
    <w:p>
      <w:pPr>
        <w:spacing w:after="140"/>
        <w:ind w:left="216"/>
      </w:pPr>
      <w:r>
        <w:rPr>
          <w:rFonts w:ascii="Arial" w:hAnsi="Arial" w:eastAsia="Arial"/>
          <w:b/>
          <w:color w:val="1F4E79"/>
          <w:sz w:val="26"/>
        </w:rPr>
        <w:t xml:space="preserve">☐  </w:t>
      </w:r>
      <w:r>
        <w:rPr>
          <w:rFonts w:ascii="Arial" w:hAnsi="Arial" w:eastAsia="Arial"/>
          <w:color w:val="222222"/>
          <w:sz w:val="22"/>
        </w:rPr>
        <w:t>Tôi biết xác định người thừa kế bắt buộc.</w:t>
      </w:r>
    </w:p>
    <w:p>
      <w:pPr>
        <w:spacing w:after="140"/>
        <w:ind w:left="216"/>
      </w:pPr>
      <w:r>
        <w:rPr>
          <w:rFonts w:ascii="Arial" w:hAnsi="Arial" w:eastAsia="Arial"/>
          <w:b/>
          <w:color w:val="1F4E79"/>
          <w:sz w:val="26"/>
        </w:rPr>
        <w:t xml:space="preserve">☐  </w:t>
      </w:r>
      <w:r>
        <w:rPr>
          <w:rFonts w:ascii="Arial" w:hAnsi="Arial" w:eastAsia="Arial"/>
          <w:color w:val="222222"/>
          <w:sz w:val="22"/>
        </w:rPr>
        <w:t>Tôi phân biệt tố cáo với khiếu nại.</w:t>
      </w:r>
    </w:p>
    <w:p>
      <w:pPr>
        <w:spacing w:after="140"/>
        <w:ind w:left="216"/>
      </w:pPr>
      <w:r>
        <w:rPr>
          <w:rFonts w:ascii="Arial" w:hAnsi="Arial" w:eastAsia="Arial"/>
          <w:b/>
          <w:color w:val="1F4E79"/>
          <w:sz w:val="26"/>
        </w:rPr>
        <w:t xml:space="preserve">☐  </w:t>
      </w:r>
      <w:r>
        <w:rPr>
          <w:rFonts w:ascii="Arial" w:hAnsi="Arial" w:eastAsia="Arial"/>
          <w:color w:val="222222"/>
          <w:sz w:val="22"/>
        </w:rPr>
        <w:t>Tôi biết tranh chấp lao động nào không bắt buộc hòa giải.</w:t>
      </w:r>
    </w:p>
    <w:p>
      <w:pPr>
        <w:spacing w:after="140"/>
        <w:ind w:left="216"/>
      </w:pPr>
      <w:r>
        <w:rPr>
          <w:rFonts w:ascii="Arial" w:hAnsi="Arial" w:eastAsia="Arial"/>
          <w:b/>
          <w:color w:val="1F4E79"/>
          <w:sz w:val="26"/>
        </w:rPr>
        <w:t xml:space="preserve">☐  </w:t>
      </w:r>
      <w:r>
        <w:rPr>
          <w:rFonts w:ascii="Arial" w:hAnsi="Arial" w:eastAsia="Arial"/>
          <w:color w:val="222222"/>
          <w:sz w:val="22"/>
        </w:rPr>
        <w:t>Tôi không dùng BLDS 2005, BLHS 1999, Luật HN&amp;GĐ 2000 hoặc cơ chế lao động cũ nếu đề hỏi pháp luật hiện hành.</w:t>
      </w:r>
    </w:p>
    <w:p>
      <w:pPr>
        <w:pStyle w:val="Heading2"/>
      </w:pPr>
      <w:r>
        <w:t>MẪU KHUNG TRẢ LỜI TỰ LUẬN</w:t>
      </w:r>
    </w:p>
    <w:p>
      <w:pPr>
        <w:pStyle w:val="ListNumber"/>
        <w:spacing w:after="60"/>
      </w:pPr>
      <w:r>
        <w:rPr>
          <w:rFonts w:ascii="Arial" w:hAnsi="Arial" w:eastAsia="Arial"/>
          <w:color w:val="222222"/>
          <w:sz w:val="22"/>
        </w:rPr>
        <w:t>Nêu khái niệm chính xác, không vòng vo.</w:t>
      </w:r>
    </w:p>
    <w:p>
      <w:pPr>
        <w:pStyle w:val="ListNumber"/>
        <w:spacing w:after="60"/>
      </w:pPr>
      <w:r>
        <w:rPr>
          <w:rFonts w:ascii="Arial" w:hAnsi="Arial" w:eastAsia="Arial"/>
          <w:color w:val="222222"/>
          <w:sz w:val="22"/>
        </w:rPr>
        <w:t>Liệt kê đặc điểm hoặc nguyên tắc theo từng ý.</w:t>
      </w:r>
    </w:p>
    <w:p>
      <w:pPr>
        <w:pStyle w:val="ListNumber"/>
        <w:spacing w:after="60"/>
      </w:pPr>
      <w:r>
        <w:rPr>
          <w:rFonts w:ascii="Arial" w:hAnsi="Arial" w:eastAsia="Arial"/>
          <w:color w:val="222222"/>
          <w:sz w:val="22"/>
        </w:rPr>
        <w:t>Phân tích ngắn từng ý và gắn một ví dụ.</w:t>
      </w:r>
    </w:p>
    <w:p>
      <w:pPr>
        <w:pStyle w:val="ListNumber"/>
        <w:spacing w:after="60"/>
      </w:pPr>
      <w:r>
        <w:rPr>
          <w:rFonts w:ascii="Arial" w:hAnsi="Arial" w:eastAsia="Arial"/>
          <w:color w:val="222222"/>
          <w:sz w:val="22"/>
        </w:rPr>
        <w:t>Nếu có căn cứ pháp luật, nêu tên văn bản và điều luật khi chắc chắn.</w:t>
      </w:r>
    </w:p>
    <w:p>
      <w:pPr>
        <w:pStyle w:val="ListNumber"/>
        <w:spacing w:after="60"/>
      </w:pPr>
      <w:r>
        <w:rPr>
          <w:rFonts w:ascii="Arial" w:hAnsi="Arial" w:eastAsia="Arial"/>
          <w:color w:val="222222"/>
          <w:sz w:val="22"/>
        </w:rPr>
        <w:t>Kết luận hoặc nêu ý nghĩa thực tiễn.</w:t>
      </w:r>
    </w:p>
    <w:tbl>
      <w:tblPr>
        <w:tblStyle w:val="TableGrid"/>
        <w:tblW w:type="auto" w:w="0"/>
        <w:jc w:val="center"/>
        <w:tblLayout w:type="fixed"/>
        <w:tblLook w:firstColumn="1" w:firstRow="1" w:lastColumn="0" w:lastRow="0" w:noHBand="0" w:noVBand="1" w:val="04A0"/>
      </w:tblPr>
      <w:tblGrid>
        <w:gridCol w:w="9749"/>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Lời nhắc cuối: </w:t>
            </w:r>
            <w:r>
              <w:rPr>
                <w:rFonts w:ascii="Arial" w:hAnsi="Arial" w:eastAsia="Arial"/>
                <w:color w:val="17365D"/>
                <w:sz w:val="21"/>
              </w:rPr>
              <w:t>Một bài có bố cục rõ, thuật ngữ đúng và biết phân nhánh dữ kiện thường an toàn hơn một bài dài nhưng khẳng định sai.</w:t>
            </w:r>
          </w:p>
        </w:tc>
      </w:tr>
    </w:tbl>
    <w:p>
      <w:pPr>
        <w:spacing w:after="0"/>
      </w:pPr>
    </w:p>
    <w:sectPr w:rsidR="00FC693F" w:rsidRPr="0006063C" w:rsidSect="00034616">
      <w:headerReference w:type="default" r:id="rId9"/>
      <w:footerReference w:type="default" r:id="rId10"/>
      <w:pgSz w:w="11909" w:h="16834"/>
      <w:pgMar w:top="1080" w:right="1008" w:bottom="1008"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i/>
        <w:color w:val="666666"/>
        <w:sz w:val="16"/>
      </w:rPr>
      <w:t>Tài liệu ôn tập – cần ưu tiên đề cương và hướng dẫn riêng của giảng viên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b/>
        <w:color w:val="666666"/>
        <w:sz w:val="16"/>
      </w:rPr>
      <w:t>ĐỀ CƯƠNG PHÁP LUẬT ĐẠI CƯƠNG • BẢN HIỆU ĐÍNH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eastAsia="Arial"/>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eastAsia="Arial"/>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eastAsia="Arial"/>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Point">
    <w:name w:val="Key Point"/>
    <w:pPr>
      <w:spacing w:before="80" w:after="120"/>
      <w:ind w:left="288" w:right="144"/>
    </w:pPr>
    <w:rPr>
      <w:rFonts w:ascii="Arial" w:hAnsi="Arial" w:eastAsia="Arial"/>
      <w:color w:val="17365D"/>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Pháp luật đại cương hoàn thiện 2026</dc:title>
  <dc:subject>Đề cương ôn thi cuối kỳ và bài tập điển hình</dc:subject>
  <dc:creator>Bản hiệu đính phục vụ học tập</dc:creator>
  <cp:keywords>Pháp luật đại cương, đề cương, bài tập, Việt Nam</cp:keywords>
  <dc:description>generated by python-docx</dc:description>
  <cp:lastModifiedBy/>
  <cp:revision>1</cp:revision>
  <dcterms:created xsi:type="dcterms:W3CDTF">2013-12-23T23:15:00Z</dcterms:created>
  <dcterms:modified xsi:type="dcterms:W3CDTF">2013-12-23T23:15:00Z</dcterms:modified>
  <cp:category/>
</cp:coreProperties>
</file>