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 w:eastAsia="Arial"/>
          <w:b/>
          <w:color w:val="17365D"/>
          <w:sz w:val="48"/>
        </w:rPr>
        <w:t>OUTLINE HỌC THUỘC NHANH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2E75B6"/>
          <w:sz w:val="34"/>
        </w:rPr>
        <w:t>PHÁP LUẬT ĐẠI CƯƠNG – 19 CÂU</w:t>
      </w:r>
    </w:p>
    <w:p>
      <w:pPr>
        <w:spacing w:after="440"/>
        <w:jc w:val="center"/>
      </w:pPr>
      <w:r>
        <w:rPr>
          <w:rFonts w:ascii="Arial" w:hAnsi="Arial" w:eastAsia="Arial"/>
          <w:i/>
          <w:color w:val="555555"/>
          <w:sz w:val="23"/>
        </w:rPr>
        <w:t>Từ khóa chấm điểm • Mã nhớ • Điểm dễ nhầm</w:t>
      </w:r>
    </w:p>
    <w:p>
      <w:pPr>
        <w:spacing w:after="320"/>
        <w:ind w:left="360" w:right="360"/>
        <w:jc w:val="both"/>
        <w:shd w:fill="EAF1F8"/>
      </w:pPr>
      <w:r>
        <w:rPr>
          <w:rFonts w:ascii="Arial" w:hAnsi="Arial" w:eastAsia="Arial"/>
          <w:color w:val="222222"/>
          <w:sz w:val="21"/>
        </w:rPr>
        <w:t>Cách học: (1) đọc “Mã nhớ”; (2) che phần nội dung và tự nói lại các ý; (3) mở ra kiểm tra; (4) viết mỗi ý thành 2–3 câu khi làm bài thi. Outline này dùng để thuộc khung, còn bản 19 câu hoàn chỉnh dùng để học phần phân tích.</w:t>
      </w:r>
    </w:p>
    <w:p>
      <w:r>
        <w:rPr>
          <w:rFonts w:ascii="Arial" w:hAnsi="Arial" w:eastAsia="Arial"/>
          <w:b/>
          <w:color w:val="1F4E79"/>
          <w:sz w:val="26"/>
        </w:rPr>
        <w:t>BẢN ĐỒ 5 CỤM KIẾN THỨC</w:t>
      </w:r>
    </w:p>
    <w:p>
      <w:pPr>
        <w:pStyle w:val="ListBullet"/>
      </w:pPr>
      <w:r>
        <w:t>Lý luận chung: Câu 1, 2, 3, 5, 6, 8, 10</w:t>
      </w:r>
    </w:p>
    <w:p>
      <w:pPr>
        <w:pStyle w:val="ListBullet"/>
      </w:pPr>
      <w:r>
        <w:t>Dân sự – gia đình: Câu 7, 9, 11, 18</w:t>
      </w:r>
    </w:p>
    <w:p>
      <w:pPr>
        <w:pStyle w:val="ListBullet"/>
      </w:pPr>
      <w:r>
        <w:t>Hình sự: Câu 4, 16</w:t>
      </w:r>
    </w:p>
    <w:p>
      <w:pPr>
        <w:pStyle w:val="ListBullet"/>
      </w:pPr>
      <w:r>
        <w:t>Lao động – hành chính: Câu 12, 13, 14, 15, 17</w:t>
      </w:r>
    </w:p>
    <w:p>
      <w:pPr>
        <w:pStyle w:val="ListBullet"/>
      </w:pPr>
      <w:r>
        <w:t>Hiến pháp: Câu 19</w:t>
      </w:r>
    </w:p>
    <w:p>
      <w:r>
        <w:br w:type="page"/>
      </w:r>
    </w:p>
    <w:p>
      <w:pPr>
        <w:pStyle w:val="Heading1"/>
      </w:pPr>
      <w:r>
        <w:t>Câu 1. Nhà nước: khái niệm, bản chất, ý nghĩa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ĐẶC BIỆT – GIAI CẤP – XÃ HỘI – TOÀN DIỆN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Tổ chức đặc biệt của quyền lực chính trị; có bộ máy quản lý và cưỡng chế; quản lý dân cư theo lãnh thổ; ban hành pháp luật, thu thuế và đại diện quốc gia.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Tính giai cấp: </w:t>
      </w:r>
      <w:r>
        <w:rPr>
          <w:rFonts w:ascii="Arial" w:hAnsi="Arial" w:eastAsia="Arial"/>
          <w:color w:val="222222"/>
          <w:sz w:val="20"/>
        </w:rPr>
        <w:t>Công cụ quyền lực của giai cấp/lực lượng cầm quyền; bảo vệ chế độ và trật tự phù hợp lợi ích của lực lượng thống trị.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Tính xã hội: </w:t>
      </w:r>
      <w:r>
        <w:rPr>
          <w:rFonts w:ascii="Arial" w:hAnsi="Arial" w:eastAsia="Arial"/>
          <w:color w:val="222222"/>
          <w:sz w:val="20"/>
        </w:rPr>
        <w:t>Giải quyết công việc chung: an ninh, kinh tế, hạ tầng, giáo dục, y tế, môi trường, quyền con người.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Ý nghĩa: </w:t>
      </w:r>
      <w:r>
        <w:rPr>
          <w:rFonts w:ascii="Arial" w:hAnsi="Arial" w:eastAsia="Arial"/>
          <w:color w:val="222222"/>
          <w:sz w:val="20"/>
        </w:rPr>
        <w:t>Phải xem xét đồng thời hai mặt giai cấp và xã hội; đặt Nhà nước trong điều kiện lịch sử – kinh tế – chính trị cụ thể.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Không tuyệt đối hóa tính giai cấp hoặc tính xã hội; không coi Nhà nước là hiện tượng vĩnh viễn, bất biến.</w:t>
      </w:r>
    </w:p>
    <w:p>
      <w:pPr>
        <w:pStyle w:val="Heading1"/>
      </w:pPr>
      <w:r>
        <w:t>Câu 2. Văn bản quy phạm pháp luật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đặc điểm: ĐÚNG CHỦ THỂ – ĐÚNG HÌNH THỨC – QUY TẮC CHUNG – LẶP LẠI – BẢO ĐẢM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Văn bản chứa quy phạm pháp luật, được ban hành đúng thẩm quyền, hình thức, trình tự, thủ tục.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Đặc điểm: </w:t>
      </w:r>
      <w:r>
        <w:rPr>
          <w:rFonts w:ascii="Arial" w:hAnsi="Arial" w:eastAsia="Arial"/>
          <w:color w:val="222222"/>
          <w:sz w:val="20"/>
        </w:rPr>
        <w:t>Do chủ thể có thẩm quyền ban hành; tên gọi luật định; chứa quy tắc xử sự chung; áp dụng nhiều lần; có hiệu lực xác định; Nhà nước bảo đảm.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1: </w:t>
      </w:r>
      <w:r>
        <w:rPr>
          <w:rFonts w:ascii="Arial" w:hAnsi="Arial" w:eastAsia="Arial"/>
          <w:color w:val="222222"/>
          <w:sz w:val="20"/>
        </w:rPr>
        <w:t>Hợp hiến, hợp pháp, thống nhất trong hệ thống pháp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2: </w:t>
      </w:r>
      <w:r>
        <w:rPr>
          <w:rFonts w:ascii="Arial" w:hAnsi="Arial" w:eastAsia="Arial"/>
          <w:color w:val="222222"/>
          <w:sz w:val="20"/>
        </w:rPr>
        <w:t>Đúng thẩm quyền, nội dung, hình thức, trình tự và thủ tục.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3: </w:t>
      </w:r>
      <w:r>
        <w:rPr>
          <w:rFonts w:ascii="Arial" w:hAnsi="Arial" w:eastAsia="Arial"/>
          <w:color w:val="222222"/>
          <w:sz w:val="20"/>
        </w:rPr>
        <w:t>Dân chủ, công khai, minh bạch; lấy ý kiến đối tượng chịu tác động.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4: </w:t>
      </w:r>
      <w:r>
        <w:rPr>
          <w:rFonts w:ascii="Arial" w:hAnsi="Arial" w:eastAsia="Arial"/>
          <w:color w:val="222222"/>
          <w:sz w:val="20"/>
        </w:rPr>
        <w:t>Khả thi, kịp thời, ổn định, hiệu quả; bảo vệ quyền con người và phù hợp điều ước quốc tế.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Không phải mọi văn bản của cơ quan nhà nước đều là văn bản quy phạm pháp luật.</w:t>
      </w:r>
    </w:p>
    <w:p>
      <w:pPr>
        <w:pStyle w:val="Heading1"/>
      </w:pPr>
      <w:r>
        <w:t>Câu 3. Nhà nước Cộng hòa xã hội chủ nghĩa Việt Nam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CỦA DÂN – DO DÂN – VÌ DÂN; PHÁP QUYỀN – THỐNG NHẤT – KIỂM SOÁT – ĐẢNG LÃNH ĐẠO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Cơ sở: </w:t>
      </w:r>
      <w:r>
        <w:rPr>
          <w:rFonts w:ascii="Arial" w:hAnsi="Arial" w:eastAsia="Arial"/>
          <w:color w:val="222222"/>
          <w:sz w:val="20"/>
        </w:rPr>
        <w:t>Điều 2 Hiến pháp 2013: Nhà nước pháp quyền XHCN của Nhân dân, do Nhân dân, vì Nhân dân; quyền lực thuộc về Nhân dân.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Của Nhân dân: </w:t>
      </w:r>
      <w:r>
        <w:rPr>
          <w:rFonts w:ascii="Arial" w:hAnsi="Arial" w:eastAsia="Arial"/>
          <w:color w:val="222222"/>
          <w:sz w:val="20"/>
        </w:rPr>
        <w:t>Nhân dân là chủ thể tối cao của quyền lực nhà nước.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Do Nhân dân: </w:t>
      </w:r>
      <w:r>
        <w:rPr>
          <w:rFonts w:ascii="Arial" w:hAnsi="Arial" w:eastAsia="Arial"/>
          <w:color w:val="222222"/>
          <w:sz w:val="20"/>
        </w:rPr>
        <w:t>Bộ máy hình thành từ sự ủy quyền, tham gia và giám sát của Nhân dân.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Vì Nhân dân: </w:t>
      </w:r>
      <w:r>
        <w:rPr>
          <w:rFonts w:ascii="Arial" w:hAnsi="Arial" w:eastAsia="Arial"/>
          <w:color w:val="222222"/>
          <w:sz w:val="20"/>
        </w:rPr>
        <w:t>Bảo vệ Tổ quốc, quyền con người, quyền công dân; nâng cao đời sống Nhân dân.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Đặc trưng: </w:t>
      </w:r>
      <w:r>
        <w:rPr>
          <w:rFonts w:ascii="Arial" w:hAnsi="Arial" w:eastAsia="Arial"/>
          <w:color w:val="222222"/>
          <w:sz w:val="20"/>
        </w:rPr>
        <w:t>Pháp quyền XHCN; quyền lực thống nhất nhưng có phân công, phối hợp, kiểm soát; Đảng lãnh đạo; tập trung dân chủ; quốc gia thống nhất của các dân tộc; đối ngoại hòa bình.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“Dân giàu, nước mạnh…” là đặc trưng của xã hội XHCN, không phải toàn bộ đặc trưng pháp lý riêng của Nhà nước.</w:t>
      </w:r>
    </w:p>
    <w:p>
      <w:pPr>
        <w:pStyle w:val="Heading1"/>
      </w:pPr>
      <w:r>
        <w:t>Câu 4. Luật hình sự và các nguyên tắc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PHÁP CHẾ – BÌNH ĐẲNG – CÓ LỖI – CÁ THỂ HÓA – NHÂN ĐẠO – PHÒNG NGỪA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Ngành luật quy định tội phạm, hình phạt, biện pháp hình sự, căn cứ trách nhiệm hình sự và nguyên tắc xử lý.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Pháp chế: </w:t>
      </w:r>
      <w:r>
        <w:rPr>
          <w:rFonts w:ascii="Arial" w:hAnsi="Arial" w:eastAsia="Arial"/>
          <w:color w:val="222222"/>
          <w:sz w:val="20"/>
        </w:rPr>
        <w:t>Chỉ Bộ luật Hình sự quy định tội phạm, hình phạt; xử lý đúng pháp luật, không suy diễn để buộc tội.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Bình đẳng: </w:t>
      </w:r>
      <w:r>
        <w:rPr>
          <w:rFonts w:ascii="Arial" w:hAnsi="Arial" w:eastAsia="Arial"/>
          <w:color w:val="222222"/>
          <w:sz w:val="20"/>
        </w:rPr>
        <w:t>Không phân biệt giới tính, dân tộc, tôn giáo, địa vị, tài sản.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Có lỗi: </w:t>
      </w:r>
      <w:r>
        <w:rPr>
          <w:rFonts w:ascii="Arial" w:hAnsi="Arial" w:eastAsia="Arial"/>
          <w:color w:val="222222"/>
          <w:sz w:val="20"/>
        </w:rPr>
        <w:t>Chỉ chịu trách nhiệm khi có lỗi cố ý hoặc vô ý.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Công bằng/cá thể hóa: </w:t>
      </w:r>
      <w:r>
        <w:rPr>
          <w:rFonts w:ascii="Arial" w:hAnsi="Arial" w:eastAsia="Arial"/>
          <w:color w:val="222222"/>
          <w:sz w:val="20"/>
        </w:rPr>
        <w:t>Hình phạt tương xứng hành vi, lỗi, nhân thân, vai trò và tình tiết.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Nhân đạo/phòng ngừa: </w:t>
      </w:r>
      <w:r>
        <w:rPr>
          <w:rFonts w:ascii="Arial" w:hAnsi="Arial" w:eastAsia="Arial"/>
          <w:color w:val="222222"/>
          <w:sz w:val="20"/>
        </w:rPr>
        <w:t>Không trả thù, hạ nhục; kết hợp trừng trị, giáo dục, cải tạo và phòng ngừa.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Pháp nhân thương mại có thể chịu trách nhiệm hình sự đối với những tội luật định; không còn đúng khi nói mọi tổ chức đều bị loại trừ.</w:t>
      </w:r>
    </w:p>
    <w:p>
      <w:pPr>
        <w:pStyle w:val="Heading1"/>
      </w:pPr>
      <w:r>
        <w:t>Câu 5. Quan hệ pháp luật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cấu thành: CHỦ THỂ – NỘI DUNG – KHÁCH THỂ; phát sinh nhờ QUY PHẠM + SỰ KIỆN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Quan hệ xã hội được pháp luật điều chỉnh, các bên có quyền và nghĩa vụ pháp lý được Nhà nước bảo đảm.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Đặc điểm: </w:t>
      </w:r>
      <w:r>
        <w:rPr>
          <w:rFonts w:ascii="Arial" w:hAnsi="Arial" w:eastAsia="Arial"/>
          <w:color w:val="222222"/>
          <w:sz w:val="20"/>
        </w:rPr>
        <w:t>Có tính ý chí; dựa trên quy phạm và sự kiện pháp lý; quyền/nghĩa vụ xác định; được Nhà nước bảo đảm.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Chủ thể: </w:t>
      </w:r>
      <w:r>
        <w:rPr>
          <w:rFonts w:ascii="Arial" w:hAnsi="Arial" w:eastAsia="Arial"/>
          <w:color w:val="222222"/>
          <w:sz w:val="20"/>
        </w:rPr>
        <w:t>Cá nhân, pháp nhân, tổ chức, Nhà nước; phải có năng lực pháp luật và năng lực hành vi phù hợp.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Nội dung: </w:t>
      </w:r>
      <w:r>
        <w:rPr>
          <w:rFonts w:ascii="Arial" w:hAnsi="Arial" w:eastAsia="Arial"/>
          <w:color w:val="222222"/>
          <w:sz w:val="20"/>
        </w:rPr>
        <w:t>Quyền chủ thể và nghĩa vụ pháp lý tương ứng.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Khách thể: </w:t>
      </w:r>
      <w:r>
        <w:rPr>
          <w:rFonts w:ascii="Arial" w:hAnsi="Arial" w:eastAsia="Arial"/>
          <w:color w:val="222222"/>
          <w:sz w:val="20"/>
        </w:rPr>
        <w:t>Lợi ích vật chất, tinh thần hoặc xã hội mà các bên hướng tới.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Sự kiện pháp lý: </w:t>
      </w:r>
      <w:r>
        <w:rPr>
          <w:rFonts w:ascii="Arial" w:hAnsi="Arial" w:eastAsia="Arial"/>
          <w:color w:val="222222"/>
          <w:sz w:val="20"/>
        </w:rPr>
        <w:t>Căn cứ làm phát sinh, thay đổi, chấm dứt quan hệ; gồm hành vi và biến cố.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Khách thể không phải là người bị thiệt hại; đó là lợi ích hoặc quan hệ xã hội mà chủ thể hướng tới.</w:t>
      </w:r>
    </w:p>
    <w:p>
      <w:pPr>
        <w:pStyle w:val="Heading1"/>
      </w:pPr>
      <w:r>
        <w:t>Câu 6. Hình thức pháp luật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TẬP QUÁN – ÁN LỆ – VĂN BẢN – ĐIỀU ƯỚC – BỔ TRỢ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Phương thức tồn tại, biểu hiện của pháp luật; theo nghĩa ngoài còn gọi là nguồn pháp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Tập quán pháp: </w:t>
      </w:r>
      <w:r>
        <w:rPr>
          <w:rFonts w:ascii="Arial" w:hAnsi="Arial" w:eastAsia="Arial"/>
          <w:color w:val="222222"/>
          <w:sz w:val="20"/>
        </w:rPr>
        <w:t>Tập quán được Nhà nước thừa nhận, áp dụng khi đủ điều kiện.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Án lệ: </w:t>
      </w:r>
      <w:r>
        <w:rPr>
          <w:rFonts w:ascii="Arial" w:hAnsi="Arial" w:eastAsia="Arial"/>
          <w:color w:val="222222"/>
          <w:sz w:val="20"/>
        </w:rPr>
        <w:t>Lập luận, phán quyết được lựa chọn, công bố để nghiên cứu và áp dụng cho vụ việc tương tự.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Văn bản QPPL: </w:t>
      </w:r>
      <w:r>
        <w:rPr>
          <w:rFonts w:ascii="Arial" w:hAnsi="Arial" w:eastAsia="Arial"/>
          <w:color w:val="222222"/>
          <w:sz w:val="20"/>
        </w:rPr>
        <w:t>Nguồn chủ yếu ở Việt Nam; rõ ràng, phổ biến, dễ công bố và hệ thống hóa.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Điều ước quốc tế: </w:t>
      </w:r>
      <w:r>
        <w:rPr>
          <w:rFonts w:ascii="Arial" w:hAnsi="Arial" w:eastAsia="Arial"/>
          <w:color w:val="222222"/>
          <w:sz w:val="20"/>
        </w:rPr>
        <w:t>Nguồn quan trọng trong quan hệ có yếu tố quốc tế; áp dụng theo Hiến pháp và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Nguồn bổ trợ: </w:t>
      </w:r>
      <w:r>
        <w:rPr>
          <w:rFonts w:ascii="Arial" w:hAnsi="Arial" w:eastAsia="Arial"/>
          <w:color w:val="222222"/>
          <w:sz w:val="20"/>
        </w:rPr>
        <w:t>Nguyên tắc pháp luật, lẽ công bằng, tương tự pháp luật trong trường hợp luật cho phép.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Không kết luận án lệ luôn tùy tiện; án lệ giúp thống nhất xét xử nếu được lựa chọn và kiểm soát chặt.</w:t>
      </w:r>
    </w:p>
    <w:p>
      <w:pPr>
        <w:pStyle w:val="Heading1"/>
      </w:pPr>
      <w:r>
        <w:t>Câu 7. Luật dân sự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TÀI SẢN + NHÂN THÂN; BÌNH ĐẲNG – TỰ DO – ĐỘC LẬP – TỰ CHỊU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Ngành luật điều chỉnh quan hệ tài sản và nhân thân trên cơ sở bình đẳng, tự do ý chí, độc lập tài sản và tự chịu trách nhiệm.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Quan hệ tài sản: </w:t>
      </w:r>
      <w:r>
        <w:rPr>
          <w:rFonts w:ascii="Arial" w:hAnsi="Arial" w:eastAsia="Arial"/>
          <w:color w:val="222222"/>
          <w:sz w:val="20"/>
        </w:rPr>
        <w:t>Sở hữu, hợp đồng, nghĩa vụ, bồi thường, thừa kế; tài sản gồm vật, tiền, giấy tờ có giá, quyền tài sản.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Quan hệ nhân thân: </w:t>
      </w:r>
      <w:r>
        <w:rPr>
          <w:rFonts w:ascii="Arial" w:hAnsi="Arial" w:eastAsia="Arial"/>
          <w:color w:val="222222"/>
          <w:sz w:val="20"/>
        </w:rPr>
        <w:t>Tên, hình ảnh, danh dự, nhân phẩm, uy tín, đời tư, quyền tác giả; có loại gắn và không gắn tài sản.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Phương pháp: </w:t>
      </w:r>
      <w:r>
        <w:rPr>
          <w:rFonts w:ascii="Arial" w:hAnsi="Arial" w:eastAsia="Arial"/>
          <w:color w:val="222222"/>
          <w:sz w:val="20"/>
        </w:rPr>
        <w:t>Bình đẳng địa vị; tự do thỏa thuận; độc lập tài sản; tự chịu trách nhiệm; tự bảo vệ hoặc yêu cầu cơ quan bảo vệ.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Quyền kết hôn, ly hôn chủ yếu thuộc Luật Hôn nhân và gia đình, không phải ví dụ trung tâm của Luật dân sự.</w:t>
      </w:r>
    </w:p>
    <w:p>
      <w:pPr>
        <w:pStyle w:val="Heading1"/>
      </w:pPr>
      <w:r>
        <w:t>Câu 8. Quy phạm pháp luật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cấu trúc: GIẢ ĐỊNH – QUY ĐỊNH – CHẾ TÀI = AI/KHI NÀO – LÀM GÌ – HẬU QUẢ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Quy tắc xử sự chung do Nhà nước ban hành hoặc thừa nhận và bảo đảm thực hiện.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Đặc điểm: </w:t>
      </w:r>
      <w:r>
        <w:rPr>
          <w:rFonts w:ascii="Arial" w:hAnsi="Arial" w:eastAsia="Arial"/>
          <w:color w:val="222222"/>
          <w:sz w:val="20"/>
        </w:rPr>
        <w:t>Bắt buộc chung; thể hiện ý chí nhà nước; áp dụng nhiều lần; hình thức chặt chẽ; xác định quyền/nghĩa vụ.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Giả định: </w:t>
      </w:r>
      <w:r>
        <w:rPr>
          <w:rFonts w:ascii="Arial" w:hAnsi="Arial" w:eastAsia="Arial"/>
          <w:color w:val="222222"/>
          <w:sz w:val="20"/>
        </w:rPr>
        <w:t>Chủ thể, hoàn cảnh, điều kiện áp dụng: ai, khi nào, ở đâu?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Quy định: </w:t>
      </w:r>
      <w:r>
        <w:rPr>
          <w:rFonts w:ascii="Arial" w:hAnsi="Arial" w:eastAsia="Arial"/>
          <w:color w:val="222222"/>
          <w:sz w:val="20"/>
        </w:rPr>
        <w:t>Cách xử sự: được làm, phải làm, không được làm, làm thế nào?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Chế tài: </w:t>
      </w:r>
      <w:r>
        <w:rPr>
          <w:rFonts w:ascii="Arial" w:hAnsi="Arial" w:eastAsia="Arial"/>
          <w:color w:val="222222"/>
          <w:sz w:val="20"/>
        </w:rPr>
        <w:t>Hậu quả pháp lý khi vi phạm: hình sự, hành chính, dân sự, kỷ luật.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Quy phạm pháp luật không đồng nhất với điều luật; ba bộ phận có thể nằm ở nhiều điều hoặc được thể hiện ngầm.</w:t>
      </w:r>
    </w:p>
    <w:p>
      <w:pPr>
        <w:pStyle w:val="Heading1"/>
      </w:pPr>
      <w:r>
        <w:t>Câu 9. Sở hữu và quyền sở hữu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quyền năng: CHIẾM HỮU – SỬ DỤNG – ĐỊNH ĐOẠT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Sở hữu: </w:t>
      </w:r>
      <w:r>
        <w:rPr>
          <w:rFonts w:ascii="Arial" w:hAnsi="Arial" w:eastAsia="Arial"/>
          <w:color w:val="222222"/>
          <w:sz w:val="20"/>
        </w:rPr>
        <w:t>Quan hệ giữa người với người về chiếm hữu, sử dụng, định đoạt tài sản.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Quyền sở hữu: </w:t>
      </w:r>
      <w:r>
        <w:rPr>
          <w:rFonts w:ascii="Arial" w:hAnsi="Arial" w:eastAsia="Arial"/>
          <w:color w:val="222222"/>
          <w:sz w:val="20"/>
        </w:rPr>
        <w:t>Quyền chiếm hữu, sử dụng và định đoạt tài sản theo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Xác lập: </w:t>
      </w:r>
      <w:r>
        <w:rPr>
          <w:rFonts w:ascii="Arial" w:hAnsi="Arial" w:eastAsia="Arial"/>
          <w:color w:val="222222"/>
          <w:sz w:val="20"/>
        </w:rPr>
        <w:t>Lao động/sản xuất; chuyển quyền; hoa lợi/lợi tức; tạo vật mới; thừa kế; chiếm hữu theo luật; thời hiệu.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Chấm dứt: </w:t>
      </w:r>
      <w:r>
        <w:rPr>
          <w:rFonts w:ascii="Arial" w:hAnsi="Arial" w:eastAsia="Arial"/>
          <w:color w:val="222222"/>
          <w:sz w:val="20"/>
        </w:rPr>
        <w:t>Chuyển quyền; từ bỏ; tiêu dùng/tiêu hủy; xử lý nghĩa vụ; trưng mua; tịch thu; người khác được xác lập.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Chiếm hữu: </w:t>
      </w:r>
      <w:r>
        <w:rPr>
          <w:rFonts w:ascii="Arial" w:hAnsi="Arial" w:eastAsia="Arial"/>
          <w:color w:val="222222"/>
          <w:sz w:val="20"/>
        </w:rPr>
        <w:t>Nắm giữ, chi phối tài sản.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Sử dụng: </w:t>
      </w:r>
      <w:r>
        <w:rPr>
          <w:rFonts w:ascii="Arial" w:hAnsi="Arial" w:eastAsia="Arial"/>
          <w:color w:val="222222"/>
          <w:sz w:val="20"/>
        </w:rPr>
        <w:t>Khai thác công dụng, hưởng hoa lợi, lợi tức.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Định đoạt: </w:t>
      </w:r>
      <w:r>
        <w:rPr>
          <w:rFonts w:ascii="Arial" w:hAnsi="Arial" w:eastAsia="Arial"/>
          <w:color w:val="222222"/>
          <w:sz w:val="20"/>
        </w:rPr>
        <w:t>Chuyển quyền, từ bỏ, tiêu dùng hoặc tiêu hủy.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Ôn theo Bộ luật Dân sự 2015, không dùng Bộ luật Dân sự 2005 đã hết hiệu lực.</w:t>
      </w:r>
    </w:p>
    <w:p>
      <w:pPr>
        <w:pStyle w:val="Heading1"/>
      </w:pPr>
      <w:r>
        <w:t>Câu 10. Vi phạm pháp luật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dấu hiệu: HÀNH VI – TRÁI LUẬT – CÓ LỖI – ĐỦ NĂNG LỰC – XÂM HẠI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Hành vi trái pháp luật, có lỗi, do chủ thể đủ năng lực trách nhiệm thực hiện, xâm hại quan hệ được pháp luật bảo vệ.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Hành vi: </w:t>
      </w:r>
      <w:r>
        <w:rPr>
          <w:rFonts w:ascii="Arial" w:hAnsi="Arial" w:eastAsia="Arial"/>
          <w:color w:val="222222"/>
          <w:sz w:val="20"/>
        </w:rPr>
        <w:t>Biểu hiện bằng hành động hoặc không hành động; ý nghĩ chưa biểu hiện chưa phải vi phạm.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Trái luật: </w:t>
      </w:r>
      <w:r>
        <w:rPr>
          <w:rFonts w:ascii="Arial" w:hAnsi="Arial" w:eastAsia="Arial"/>
          <w:color w:val="222222"/>
          <w:sz w:val="20"/>
        </w:rPr>
        <w:t>Làm điều cấm, không làm điều bắt buộc, vượt giới hạn hoặc lạm dụng quyền.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Có lỗi: </w:t>
      </w:r>
      <w:r>
        <w:rPr>
          <w:rFonts w:ascii="Arial" w:hAnsi="Arial" w:eastAsia="Arial"/>
          <w:color w:val="222222"/>
          <w:sz w:val="20"/>
        </w:rPr>
        <w:t>Cố ý hoặc vô ý.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Đủ năng lực: </w:t>
      </w:r>
      <w:r>
        <w:rPr>
          <w:rFonts w:ascii="Arial" w:hAnsi="Arial" w:eastAsia="Arial"/>
          <w:color w:val="222222"/>
          <w:sz w:val="20"/>
        </w:rPr>
        <w:t>Đủ tuổi, khả năng nhận thức/điều khiển và điều kiện theo ngành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Phân loại: </w:t>
      </w:r>
      <w:r>
        <w:rPr>
          <w:rFonts w:ascii="Arial" w:hAnsi="Arial" w:eastAsia="Arial"/>
          <w:color w:val="222222"/>
          <w:sz w:val="20"/>
        </w:rPr>
        <w:t>Hình sự – hành chính – dân sự – kỷ luật.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Không phải mọi vi phạm đều cần hậu quả vật chất thực tế; nhiều cấu thành chỉ cần hành vi hoặc nguy cơ.</w:t>
      </w:r>
    </w:p>
    <w:p>
      <w:pPr>
        <w:pStyle w:val="Heading1"/>
      </w:pPr>
      <w:r>
        <w:t>Câu 11. Thừa kế theo di chúc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NGƯỜI LẬP – HỢP PHÁP – HÌNH THỨC – HIỆU LỰC – SUẤT BẮT BUỘC – THANH TOÁN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Thừa kế: </w:t>
      </w:r>
      <w:r>
        <w:rPr>
          <w:rFonts w:ascii="Arial" w:hAnsi="Arial" w:eastAsia="Arial"/>
          <w:color w:val="222222"/>
          <w:sz w:val="20"/>
        </w:rPr>
        <w:t>Chuyển di sản của người chết cho người còn sống/tổ chức theo di chúc hoặc pháp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Di chúc: </w:t>
      </w:r>
      <w:r>
        <w:rPr>
          <w:rFonts w:ascii="Arial" w:hAnsi="Arial" w:eastAsia="Arial"/>
          <w:color w:val="222222"/>
          <w:sz w:val="20"/>
        </w:rPr>
        <w:t>Ý chí cá nhân chuyển tài sản cho người khác sau khi chết.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Hợp pháp: </w:t>
      </w:r>
      <w:r>
        <w:rPr>
          <w:rFonts w:ascii="Arial" w:hAnsi="Arial" w:eastAsia="Arial"/>
          <w:color w:val="222222"/>
          <w:sz w:val="20"/>
        </w:rPr>
        <w:t>Minh mẫn, tự nguyện; nội dung không trái luật/đạo đức; hình thức đúng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Hình thức: </w:t>
      </w:r>
      <w:r>
        <w:rPr>
          <w:rFonts w:ascii="Arial" w:hAnsi="Arial" w:eastAsia="Arial"/>
          <w:color w:val="222222"/>
          <w:sz w:val="20"/>
        </w:rPr>
        <w:t>Văn bản; miệng chỉ khi tính mạng bị đe dọa và không thể lập văn bản.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Hiệu lực: </w:t>
      </w:r>
      <w:r>
        <w:rPr>
          <w:rFonts w:ascii="Arial" w:hAnsi="Arial" w:eastAsia="Arial"/>
          <w:color w:val="222222"/>
          <w:sz w:val="20"/>
        </w:rPr>
        <w:t>Từ thời điểm mở thừa kế – thời điểm người để lại di sản chết.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Suất bắt buộc: </w:t>
      </w:r>
      <w:r>
        <w:rPr>
          <w:rFonts w:ascii="Arial" w:hAnsi="Arial" w:eastAsia="Arial"/>
          <w:color w:val="222222"/>
          <w:sz w:val="20"/>
        </w:rPr>
        <w:t>Con chưa thành niên; cha mẹ, vợ chồng; con thành niên không có khả năng lao động: 2/3 suất theo pháp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Chia di sản: </w:t>
      </w:r>
      <w:r>
        <w:rPr>
          <w:rFonts w:ascii="Arial" w:hAnsi="Arial" w:eastAsia="Arial"/>
          <w:color w:val="222222"/>
          <w:sz w:val="20"/>
        </w:rPr>
        <w:t>Thanh toán nghĩa vụ, chi phí trước; phần còn lại chia theo di chúc, phần không định đoạt chia theo pháp luật.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Người 15–dưới 18 tuổi cần cha mẹ/người giám hộ đồng ý việc lập di chúc, không nhất thiết phải ký vào di chúc.</w:t>
      </w:r>
    </w:p>
    <w:p>
      <w:pPr>
        <w:pStyle w:val="Heading1"/>
      </w:pPr>
      <w:r>
        <w:t>Câu 12. Luật lao động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QUAN HỆ CÁ NHÂN – TẬP THỂ – LIÊN QUAN; THỎA THUẬN – MỆNH LỆNH – BẢO VỆ – ĐẠI DIỆN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Ngành luật điều chỉnh quan hệ lao động có trả công và các quan hệ liên quan trực tiếp.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Quan hệ cá nhân: </w:t>
      </w:r>
      <w:r>
        <w:rPr>
          <w:rFonts w:ascii="Arial" w:hAnsi="Arial" w:eastAsia="Arial"/>
          <w:color w:val="222222"/>
          <w:sz w:val="20"/>
        </w:rPr>
        <w:t>Tuyển dụng, hợp đồng, lương, giờ làm/nghỉ, an toàn, kỷ luật, chấm dứt.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Quan hệ tập thể: </w:t>
      </w:r>
      <w:r>
        <w:rPr>
          <w:rFonts w:ascii="Arial" w:hAnsi="Arial" w:eastAsia="Arial"/>
          <w:color w:val="222222"/>
          <w:sz w:val="20"/>
        </w:rPr>
        <w:t>Đối thoại, thương lượng, thỏa ước, đại diện, tranh chấp, đình công.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Quan hệ liên quan: </w:t>
      </w:r>
      <w:r>
        <w:rPr>
          <w:rFonts w:ascii="Arial" w:hAnsi="Arial" w:eastAsia="Arial"/>
          <w:color w:val="222222"/>
          <w:sz w:val="20"/>
        </w:rPr>
        <w:t>Việc làm, đào tạo, bảo hiểm, thanh tra, quản lý, giải quyết tranh chấp.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Phương pháp: </w:t>
      </w:r>
      <w:r>
        <w:rPr>
          <w:rFonts w:ascii="Arial" w:hAnsi="Arial" w:eastAsia="Arial"/>
          <w:color w:val="222222"/>
          <w:sz w:val="20"/>
        </w:rPr>
        <w:t>Thỏa thuận; quyền quản lý của người sử dụng; bảo vệ người lao động; sự tham gia của tổ chức đại diện.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Quan hệ công vụ của cán bộ, công chức chủ yếu không thuộc Luật lao động.</w:t>
      </w:r>
    </w:p>
    <w:p>
      <w:pPr>
        <w:pStyle w:val="Heading1"/>
      </w:pPr>
      <w:r>
        <w:t>Câu 13. Hợp đồng lao động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THỎA THUẬN – CÓ TRẢ CÔNG – CÓ QUẢN LÝ; 2 LOẠI HỢP ĐỒNG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Thỏa thuận về việc làm có trả công, tiền lương, điều kiện lao động và quyền/nghĩa vụ; có sự quản lý, điều hành, giám sát.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tắc: </w:t>
      </w:r>
      <w:r>
        <w:rPr>
          <w:rFonts w:ascii="Arial" w:hAnsi="Arial" w:eastAsia="Arial"/>
          <w:color w:val="222222"/>
          <w:sz w:val="20"/>
        </w:rPr>
        <w:t>Tự nguyện, bình đẳng, thiện chí, hợp tác, trung thực; tự do nhưng không trái luật.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Hình thức: </w:t>
      </w:r>
      <w:r>
        <w:rPr>
          <w:rFonts w:ascii="Arial" w:hAnsi="Arial" w:eastAsia="Arial"/>
          <w:color w:val="222222"/>
          <w:sz w:val="20"/>
        </w:rPr>
        <w:t>Văn bản/điện tử; lời nói với hợp đồng dưới 1 tháng, trừ trường hợp bắt buộc văn bản.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Hai loại: </w:t>
      </w:r>
      <w:r>
        <w:rPr>
          <w:rFonts w:ascii="Arial" w:hAnsi="Arial" w:eastAsia="Arial"/>
          <w:color w:val="222222"/>
          <w:sz w:val="20"/>
        </w:rPr>
        <w:t>Không xác định thời hạn; xác định thời hạn không quá 36 tháng.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Nội dung: </w:t>
      </w:r>
      <w:r>
        <w:rPr>
          <w:rFonts w:ascii="Arial" w:hAnsi="Arial" w:eastAsia="Arial"/>
          <w:color w:val="222222"/>
          <w:sz w:val="20"/>
        </w:rPr>
        <w:t>Chủ thể, công việc, địa điểm, thời hạn, lương, giờ làm/nghỉ, bảo hộ, bảo hiểm, đào tạo.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Chấm dứt: </w:t>
      </w:r>
      <w:r>
        <w:rPr>
          <w:rFonts w:ascii="Arial" w:hAnsi="Arial" w:eastAsia="Arial"/>
          <w:color w:val="222222"/>
          <w:sz w:val="20"/>
        </w:rPr>
        <w:t>Theo căn cứ luật định; đơn phương phải đúng căn cứ và báo trước, nếu trái luật phải bồi thường/khắc phục.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Không còn loại hợp đồng mùa vụ riêng theo Bộ luật Lao động 2019.</w:t>
      </w:r>
    </w:p>
    <w:p>
      <w:pPr>
        <w:pStyle w:val="Heading1"/>
      </w:pPr>
      <w:r>
        <w:t>Câu 14. Tranh chấp lao động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CÁ NHÂN/TẬP THỂ – QUYỀN/LỢI ÍCH; HÒA GIẢI – TRỌNG TÀI – TÒA ÁN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Tranh chấp về quyền, nghĩa vụ, lợi ích trong xác lập, thực hiện hoặc chấm dứt quan hệ lao động.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Phân loại: </w:t>
      </w:r>
      <w:r>
        <w:rPr>
          <w:rFonts w:ascii="Arial" w:hAnsi="Arial" w:eastAsia="Arial"/>
          <w:color w:val="222222"/>
          <w:sz w:val="20"/>
        </w:rPr>
        <w:t>Cá nhân; tập thể về quyền; tập thể về lợi ích.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Thẩm quyền: </w:t>
      </w:r>
      <w:r>
        <w:rPr>
          <w:rFonts w:ascii="Arial" w:hAnsi="Arial" w:eastAsia="Arial"/>
          <w:color w:val="222222"/>
          <w:sz w:val="20"/>
        </w:rPr>
        <w:t>Hòa giải viên lao động; Hội đồng trọng tài lao động; Tòa án.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Cá nhân: </w:t>
      </w:r>
      <w:r>
        <w:rPr>
          <w:rFonts w:ascii="Arial" w:hAnsi="Arial" w:eastAsia="Arial"/>
          <w:color w:val="222222"/>
          <w:sz w:val="20"/>
        </w:rPr>
        <w:t>Thường phải hòa giải trước; một số tranh chấp được khởi kiện thẳng như sa thải, đơn phương chấm dứt, bảo hiểm…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Tập thể về quyền: </w:t>
      </w:r>
      <w:r>
        <w:rPr>
          <w:rFonts w:ascii="Arial" w:hAnsi="Arial" w:eastAsia="Arial"/>
          <w:color w:val="222222"/>
          <w:sz w:val="20"/>
        </w:rPr>
        <w:t>Hòa giải → trọng tài hoặc Tòa án.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Tập thể về lợi ích: </w:t>
      </w:r>
      <w:r>
        <w:rPr>
          <w:rFonts w:ascii="Arial" w:hAnsi="Arial" w:eastAsia="Arial"/>
          <w:color w:val="222222"/>
          <w:sz w:val="20"/>
        </w:rPr>
        <w:t>Hòa giải → trọng tài hoặc tiến hành thủ tục đình công khi đủ điều kiện.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Chỉ tranh chấp tập thể về lợi ích mới có thể dẫn đến đình công; cơ chế Chủ tịch UBND huyện là kiến thức cũ.</w:t>
      </w:r>
    </w:p>
    <w:p>
      <w:pPr>
        <w:pStyle w:val="Heading1"/>
      </w:pPr>
      <w:r>
        <w:t>Câu 15. Luật hành chính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QUẢN LÝ NHÀ NƯỚC – QUYỀN LỰC/PHỤC TÙNG – QUYẾT ĐỊNH ĐƠN PHƯƠNG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Ngành luật điều chỉnh quan hệ phát sinh trong quản lý hành chính nhà nước và thực hiện quyền hành pháp.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Nhóm 1: </w:t>
      </w:r>
      <w:r>
        <w:rPr>
          <w:rFonts w:ascii="Arial" w:hAnsi="Arial" w:eastAsia="Arial"/>
          <w:color w:val="222222"/>
          <w:sz w:val="20"/>
        </w:rPr>
        <w:t>Quản lý của Chính phủ, bộ, UBND và cơ quan hành chính.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Nhóm 2: </w:t>
      </w:r>
      <w:r>
        <w:rPr>
          <w:rFonts w:ascii="Arial" w:hAnsi="Arial" w:eastAsia="Arial"/>
          <w:color w:val="222222"/>
          <w:sz w:val="20"/>
        </w:rPr>
        <w:t>Quản lý nội bộ cơ quan nhà nước.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Nhóm 3: </w:t>
      </w:r>
      <w:r>
        <w:rPr>
          <w:rFonts w:ascii="Arial" w:hAnsi="Arial" w:eastAsia="Arial"/>
          <w:color w:val="222222"/>
          <w:sz w:val="20"/>
        </w:rPr>
        <w:t>Hoạt động hành chính nội bộ của cơ quan lập pháp, tư pháp.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Nhóm 4: </w:t>
      </w:r>
      <w:r>
        <w:rPr>
          <w:rFonts w:ascii="Arial" w:hAnsi="Arial" w:eastAsia="Arial"/>
          <w:color w:val="222222"/>
          <w:sz w:val="20"/>
        </w:rPr>
        <w:t>Hoạt động quản lý của tổ chức/cá nhân được Nhà nước trao quyền.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Phương pháp: </w:t>
      </w:r>
      <w:r>
        <w:rPr>
          <w:rFonts w:ascii="Arial" w:hAnsi="Arial" w:eastAsia="Arial"/>
          <w:color w:val="222222"/>
          <w:sz w:val="20"/>
        </w:rPr>
        <w:t>Quyền lực – phục tùng: một bên nhân danh Nhà nước ra quyết định, kiểm tra, cưỡng chế; bên kia chấp hành quyết định hợp pháp.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Quyết định hành chính phải đúng thẩm quyền, căn cứ, thủ tục; cá nhân có quyền khiếu nại hoặc khởi kiện.</w:t>
      </w:r>
    </w:p>
    <w:p>
      <w:pPr>
        <w:pStyle w:val="Heading1"/>
      </w:pPr>
      <w:r>
        <w:t>Câu 16. Tội phạm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đặc điểm: NGUY HIỂM – ĐƯỢC QUY ĐỊNH – CÓ LỖI – ĐỦ NĂNG LỰC – CHỊU HÌNH PHẠT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Hành vi nguy hiểm được Bộ luật Hình sự quy định, do cá nhân đủ năng lực hoặc pháp nhân thương mại thực hiện có lỗi.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 hiểm: </w:t>
      </w:r>
      <w:r>
        <w:rPr>
          <w:rFonts w:ascii="Arial" w:hAnsi="Arial" w:eastAsia="Arial"/>
          <w:color w:val="222222"/>
          <w:sz w:val="20"/>
        </w:rPr>
        <w:t>Gây hoặc đe dọa gây thiệt hại đáng kể cho quan hệ được luật hình sự bảo vệ.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Được quy định: </w:t>
      </w:r>
      <w:r>
        <w:rPr>
          <w:rFonts w:ascii="Arial" w:hAnsi="Arial" w:eastAsia="Arial"/>
          <w:color w:val="222222"/>
          <w:sz w:val="20"/>
        </w:rPr>
        <w:t>Không có tội nếu Bộ luật Hình sự không quy định.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Có lỗi: </w:t>
      </w:r>
      <w:r>
        <w:rPr>
          <w:rFonts w:ascii="Arial" w:hAnsi="Arial" w:eastAsia="Arial"/>
          <w:color w:val="222222"/>
          <w:sz w:val="20"/>
        </w:rPr>
        <w:t>Cố ý trực tiếp/gián tiếp; vô ý quá tự tin/cẩu thả.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Năng lực: </w:t>
      </w:r>
      <w:r>
        <w:rPr>
          <w:rFonts w:ascii="Arial" w:hAnsi="Arial" w:eastAsia="Arial"/>
          <w:color w:val="222222"/>
          <w:sz w:val="20"/>
        </w:rPr>
        <w:t>Đủ tuổi và khả năng nhận thức, điều khiển; pháp nhân chỉ chịu với tội luật định.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Phân loại: </w:t>
      </w:r>
      <w:r>
        <w:rPr>
          <w:rFonts w:ascii="Arial" w:hAnsi="Arial" w:eastAsia="Arial"/>
          <w:color w:val="222222"/>
          <w:sz w:val="20"/>
        </w:rPr>
        <w:t>Ít nghiêm trọng: đến 3 năm; nghiêm trọng: trên 3–7; rất nghiêm trọng: trên 7–15; đặc biệt nghiêm trọng: trên 15, chung thân hoặc tử hình.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Dùng Bộ luật Hình sự 2015 sửa đổi 2017; không dùng định nghĩa của Bộ luật Hình sự 1999.</w:t>
      </w:r>
    </w:p>
    <w:p>
      <w:pPr>
        <w:pStyle w:val="Heading1"/>
      </w:pPr>
      <w:r>
        <w:t>Câu 17. Tố cáo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trình tự: THỤ LÝ – XÁC MINH – KẾT LUẬN – XỬ LÝ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Cá nhân báo cho chủ thể có thẩm quyền về hành vi vi phạm gây/đe dọa gây thiệt hại.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Đặc điểm: </w:t>
      </w:r>
      <w:r>
        <w:rPr>
          <w:rFonts w:ascii="Arial" w:hAnsi="Arial" w:eastAsia="Arial"/>
          <w:color w:val="222222"/>
          <w:sz w:val="20"/>
        </w:rPr>
        <w:t>Người tố cáo là cá nhân; đối tượng là hành vi vi phạm; phải trung thực; được bảo mật và bảo vệ.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Thẩm quyền: </w:t>
      </w:r>
      <w:r>
        <w:rPr>
          <w:rFonts w:ascii="Arial" w:hAnsi="Arial" w:eastAsia="Arial"/>
          <w:color w:val="222222"/>
          <w:sz w:val="20"/>
        </w:rPr>
        <w:t>Người đứng đầu quản lý người bị tố cáo; cơ quan quản lý lĩnh vực; dấu hiệu tội phạm chuyển cơ quan tố tụng.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Hình thức: </w:t>
      </w:r>
      <w:r>
        <w:rPr>
          <w:rFonts w:ascii="Arial" w:hAnsi="Arial" w:eastAsia="Arial"/>
          <w:color w:val="222222"/>
          <w:sz w:val="20"/>
        </w:rPr>
        <w:t>Bằng đơn hoặc trình bày trực tiếp.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Trình tự: </w:t>
      </w:r>
      <w:r>
        <w:rPr>
          <w:rFonts w:ascii="Arial" w:hAnsi="Arial" w:eastAsia="Arial"/>
          <w:color w:val="222222"/>
          <w:sz w:val="20"/>
        </w:rPr>
        <w:t>Thụ lý → xác minh → kết luận → xử lý kết luận.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Thời hạn: </w:t>
      </w:r>
      <w:r>
        <w:rPr>
          <w:rFonts w:ascii="Arial" w:hAnsi="Arial" w:eastAsia="Arial"/>
          <w:color w:val="222222"/>
          <w:sz w:val="20"/>
        </w:rPr>
        <w:t>30 ngày; phức tạp gia hạn 1 lần; đặc biệt phức tạp gia hạn 2 lần, mỗi lần tối đa 30 ngày.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Thông tin nặc danh không giải quyết theo thủ tục tố cáo, nhưng có chứng cứ rõ vẫn có thể được dùng để thanh tra/kiểm tra; không gọi tuyệt đối là “bất hợp pháp”.</w:t>
      </w:r>
    </w:p>
    <w:p>
      <w:pPr>
        <w:pStyle w:val="Heading1"/>
      </w:pPr>
      <w:r>
        <w:t>Câu 18. Luật Hôn nhân và gia đình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nhớ: TỰ NGUYỆN – MỘT VỢ MỘT CHỒNG – BÌNH ĐẲNG – KHÔNG PHÂN BIỆT – BẢO VỆ – TRUYỀN THỐNG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niệm: </w:t>
      </w:r>
      <w:r>
        <w:rPr>
          <w:rFonts w:ascii="Arial" w:hAnsi="Arial" w:eastAsia="Arial"/>
          <w:color w:val="222222"/>
          <w:sz w:val="20"/>
        </w:rPr>
        <w:t>Ngành luật điều chỉnh quan hệ nhân thân, tài sản từ hôn nhân và giữa các thành viên gia đình.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1: </w:t>
      </w:r>
      <w:r>
        <w:rPr>
          <w:rFonts w:ascii="Arial" w:hAnsi="Arial" w:eastAsia="Arial"/>
          <w:color w:val="222222"/>
          <w:sz w:val="20"/>
        </w:rPr>
        <w:t>Hôn nhân tự nguyện, tiến bộ, một vợ một chồng, vợ chồng bình đẳng.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2: </w:t>
      </w:r>
      <w:r>
        <w:rPr>
          <w:rFonts w:ascii="Arial" w:hAnsi="Arial" w:eastAsia="Arial"/>
          <w:color w:val="222222"/>
          <w:sz w:val="20"/>
        </w:rPr>
        <w:t>Không phân biệt dân tộc, tôn giáo; bảo vệ hôn nhân có yếu tố nước ngoài hợp pháp.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3: </w:t>
      </w:r>
      <w:r>
        <w:rPr>
          <w:rFonts w:ascii="Arial" w:hAnsi="Arial" w:eastAsia="Arial"/>
          <w:color w:val="222222"/>
          <w:sz w:val="20"/>
        </w:rPr>
        <w:t>Gia đình ấm no, tiến bộ, hạnh phúc; thành viên tôn trọng, chăm sóc, giúp đỡ nhau.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Nguyên tắc 4: </w:t>
      </w:r>
      <w:r>
        <w:rPr>
          <w:rFonts w:ascii="Arial" w:hAnsi="Arial" w:eastAsia="Arial"/>
          <w:color w:val="222222"/>
          <w:sz w:val="20"/>
        </w:rPr>
        <w:t>Không phân biệt các con; bảo vệ trẻ em, người cao tuổi, người khuyết tật và người yếu thế.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Ưu việt: </w:t>
      </w:r>
      <w:r>
        <w:rPr>
          <w:rFonts w:ascii="Arial" w:hAnsi="Arial" w:eastAsia="Arial"/>
          <w:color w:val="222222"/>
          <w:sz w:val="20"/>
        </w:rPr>
        <w:t>Kết hợp quyền con người, bình đẳng hiện đại với tình nghĩa, hiếu thảo và tương trợ truyền thống.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Ôn theo Luật Hôn nhân và gia đình 2014, không theo Luật năm 2000.</w:t>
      </w:r>
    </w:p>
    <w:p>
      <w:pPr>
        <w:pStyle w:val="Heading1"/>
      </w:pPr>
      <w:r>
        <w:t>Câu 19. Hiến pháp năm 2013</w:t>
      </w:r>
    </w:p>
    <w:p>
      <w:pPr>
        <w:spacing w:after="100"/>
        <w:ind w:left="173" w:right="173"/>
        <w:shd w:fill="E8EEF5"/>
      </w:pPr>
      <w:r>
        <w:rPr>
          <w:rFonts w:ascii="Arial" w:hAnsi="Arial" w:eastAsia="Arial"/>
          <w:b/>
          <w:color w:val="1F4E79"/>
          <w:sz w:val="20"/>
        </w:rPr>
        <w:t>Mã nhớ 11 chương: CHÍNH TRỊ – QUYỀN – KINH TẾ/XÃ HỘI – BẢO VỆ – QH – CTN – CP – TA/VKS – ĐỊA PHƯƠNG – HĐBC/KTNN – HIỆU LỰC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Khái quát: </w:t>
      </w:r>
      <w:r>
        <w:rPr>
          <w:rFonts w:ascii="Arial" w:hAnsi="Arial" w:eastAsia="Arial"/>
          <w:color w:val="222222"/>
          <w:sz w:val="20"/>
        </w:rPr>
        <w:t>Thông qua 28/11/2013; hiệu lực 01/01/2014; Lời nói đầu, 11 chương, 120 điều; hiệu lực pháp lý cao nhất.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Chương I–IV: </w:t>
      </w:r>
      <w:r>
        <w:rPr>
          <w:rFonts w:ascii="Arial" w:hAnsi="Arial" w:eastAsia="Arial"/>
          <w:color w:val="222222"/>
          <w:sz w:val="20"/>
        </w:rPr>
        <w:t>Chế độ chính trị; quyền con người/công dân; kinh tế–xã hội–văn hóa–giáo dục–khoa học–môi trường; bảo vệ Tổ quốc.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Chương V–VIII: </w:t>
      </w:r>
      <w:r>
        <w:rPr>
          <w:rFonts w:ascii="Arial" w:hAnsi="Arial" w:eastAsia="Arial"/>
          <w:color w:val="222222"/>
          <w:sz w:val="20"/>
        </w:rPr>
        <w:t>Quốc hội; Chủ tịch nước; Chính phủ; Tòa án và Viện kiểm sát.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Chương IX–XI: </w:t>
      </w:r>
      <w:r>
        <w:rPr>
          <w:rFonts w:ascii="Arial" w:hAnsi="Arial" w:eastAsia="Arial"/>
          <w:color w:val="222222"/>
          <w:sz w:val="20"/>
        </w:rPr>
        <w:t>Chính quyền địa phương; Hội đồng bầu cử quốc gia và Kiểm toán nhà nước; hiệu lực và sửa đổi Hiến pháp.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Điểm mới lớn: </w:t>
      </w:r>
      <w:r>
        <w:rPr>
          <w:rFonts w:ascii="Arial" w:hAnsi="Arial" w:eastAsia="Arial"/>
          <w:color w:val="222222"/>
          <w:sz w:val="20"/>
        </w:rPr>
        <w:t>Chủ quyền Nhân dân; quyền con người; hạn chế quyền bằng luật; kiểm soát quyền lực; Chính phủ thực hiện hành pháp; Tòa án thực hiện tư pháp.</w:t>
      </w:r>
    </w:p>
    <w:p>
      <w:pPr>
        <w:pStyle w:val="ListBullet"/>
      </w:pPr>
      <w:r>
        <w:rPr>
          <w:rFonts w:ascii="Arial" w:hAnsi="Arial" w:eastAsia="Arial"/>
          <w:b/>
          <w:color w:val="222222"/>
          <w:sz w:val="20"/>
        </w:rPr>
        <w:t xml:space="preserve">Ý nghĩa: </w:t>
      </w:r>
      <w:r>
        <w:rPr>
          <w:rFonts w:ascii="Arial" w:hAnsi="Arial" w:eastAsia="Arial"/>
          <w:color w:val="222222"/>
          <w:sz w:val="20"/>
        </w:rPr>
        <w:t>Nền tảng tổ chức và giới hạn quyền lực nhà nước, bảo vệ quyền và định hướng phát triển đất nước.</w:t>
      </w:r>
    </w:p>
    <w:p>
      <w:pPr>
        <w:spacing w:before="40" w:after="140"/>
        <w:ind w:left="173" w:right="173"/>
        <w:shd w:fill="FFF2F2"/>
      </w:pPr>
      <w:r>
        <w:rPr>
          <w:rFonts w:ascii="Arial" w:hAnsi="Arial" w:eastAsia="Arial"/>
          <w:b/>
          <w:color w:val="9B1C1C"/>
          <w:sz w:val="19"/>
        </w:rPr>
        <w:t xml:space="preserve">Dễ nhầm: </w:t>
      </w:r>
      <w:r>
        <w:rPr>
          <w:rFonts w:ascii="Arial" w:hAnsi="Arial" w:eastAsia="Arial"/>
          <w:i/>
          <w:color w:val="7A1F1F"/>
          <w:sz w:val="19"/>
        </w:rPr>
        <w:t>Khi phân tích không chỉ kể tên chương: cần nêu ít nhất 3 giá trị nổi bật về quyền con người, kiểm soát quyền lực và phân công lập pháp–hành pháp–tư pháp.</w:t>
      </w:r>
    </w:p>
    <w:p>
      <w:r>
        <w:br w:type="page"/>
      </w:r>
    </w:p>
    <w:p>
      <w:pPr>
        <w:pStyle w:val="Heading1"/>
      </w:pPr>
      <w:r>
        <w:t>CÔNG THỨC LÀM BÀI 5 BƯỚC</w:t>
      </w:r>
    </w:p>
    <w:p>
      <w:pPr>
        <w:pStyle w:val="ListBullet"/>
      </w:pPr>
      <w:r>
        <w:t>1. Viết khái niệm chuẩn trong 2–3 dòng.</w:t>
      </w:r>
    </w:p>
    <w:p>
      <w:pPr>
        <w:pStyle w:val="ListBullet"/>
      </w:pPr>
      <w:r>
        <w:t>2. Chia đúng các vế mà đề yêu cầu thành đề mục.</w:t>
      </w:r>
    </w:p>
    <w:p>
      <w:pPr>
        <w:pStyle w:val="ListBullet"/>
      </w:pPr>
      <w:r>
        <w:t>3. Mỗi ý: nêu từ khóa → giải thích 1–2 câu → cho ví dụ/phân biệt nếu cần.</w:t>
      </w:r>
    </w:p>
    <w:p>
      <w:pPr>
        <w:pStyle w:val="ListBullet"/>
      </w:pPr>
      <w:r>
        <w:t>4. Ghi đúng văn bản hiện hành; nếu đề dùng luật cũ, nêu lưu ý cập nhật.</w:t>
      </w:r>
    </w:p>
    <w:p>
      <w:pPr>
        <w:pStyle w:val="ListBullet"/>
      </w:pPr>
      <w:r>
        <w:t>5. Kết luận 1 câu về ý nghĩa hoặc vai trò.</w:t>
      </w: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4"/>
        </w:rPr>
        <w:t>Lịch ôn gợi ý trong 4 lượt</w:t>
      </w:r>
    </w:p>
    <w:p>
      <w:pPr>
        <w:pStyle w:val="ListBullet"/>
      </w:pPr>
      <w:r>
        <w:t>Lượt 1: Đọc toàn bộ mã nhớ và tiêu đề.</w:t>
      </w:r>
    </w:p>
    <w:p>
      <w:pPr>
        <w:pStyle w:val="ListBullet"/>
      </w:pPr>
      <w:r>
        <w:t>Lượt 2: Thuộc khái niệm + số lượng ý chính của từng câu.</w:t>
      </w:r>
    </w:p>
    <w:p>
      <w:pPr>
        <w:pStyle w:val="ListBullet"/>
      </w:pPr>
      <w:r>
        <w:t>Lượt 3: Tự nói lại không nhìn tài liệu; đánh dấu câu còn vấp.</w:t>
      </w:r>
    </w:p>
    <w:p>
      <w:pPr>
        <w:pStyle w:val="ListBullet"/>
      </w:pPr>
      <w:r>
        <w:t>Lượt 4: Viết thử 3–5 câu ngẫu nhiên theo thời gian thi.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7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b/>
        <w:color w:val="6B7280"/>
        <w:sz w:val="16"/>
      </w:rPr>
      <w:t>OUTLINE PHÁP LUẬT ĐẠI CƯƠNG • 19 CÂU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Arial" w:hAnsi="Arial" w:eastAsia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33" w:hanging="259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Outline Pháp luật đại cương – 19 câu dễ học thuộc</dc:title>
  <dc:subject>Từ khóa, mã nhớ và điểm dễ nhầm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