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2"/>
        <w:gridCol w:w="3315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gridSpan w:val="3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5730240" cy="2424430"/>
                  <wp:effectExtent l="0" t="0" r="3810" b="1397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 xml:space="preserve">Use Case Number:  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pStyle w:val="2"/>
              <w:numPr>
                <w:ilvl w:val="0"/>
                <w:numId w:val="0"/>
              </w:numPr>
              <w:rPr>
                <w:rFonts w:hint="default" w:ascii="Calibri (Body)" w:hAnsi="Calibri (Body)" w:cs="Calibri (Body)"/>
                <w:lang w:val="en-US"/>
              </w:rPr>
            </w:pPr>
            <w:r>
              <w:rPr>
                <w:rFonts w:hint="default" w:ascii="Calibri (Body)" w:hAnsi="Calibri (Body)" w:cs="Calibri (Body)"/>
                <w:b/>
                <w:bCs w:val="0"/>
                <w:lang w:val="en-US"/>
              </w:rPr>
              <w:t>UC13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Reporting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Admin,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Reporting </w:t>
            </w:r>
            <w:bookmarkStart w:id="0" w:name="_GoBack"/>
            <w:r>
              <w:rPr>
                <w:rFonts w:hint="default"/>
                <w:lang w:val="en-US"/>
              </w:rPr>
              <w:t>sử dụng để tạo và hiển thị các báo cáo để giúp người dùng theo dõi và đánh giá các hoạt động trong hệ thống.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22" w:type="dxa"/>
            <w:vMerge w:val="restart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315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>
            <w:pPr>
              <w:rPr>
                <w:b/>
              </w:rPr>
            </w:pPr>
          </w:p>
        </w:tc>
        <w:tc>
          <w:tcPr>
            <w:tcW w:w="2905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rPr>
                <w:b/>
              </w:rPr>
            </w:pPr>
            <w:r>
              <w:t>1.</w:t>
            </w:r>
            <w:r>
              <w:rPr>
                <w:rFonts w:hint="default"/>
              </w:rPr>
              <w:t xml:space="preserve">Thực hiện </w:t>
            </w:r>
            <w:r>
              <w:rPr>
                <w:rFonts w:hint="default"/>
                <w:b/>
                <w:bCs/>
              </w:rPr>
              <w:t>{Xác thực Đăng nhập}</w:t>
            </w:r>
          </w:p>
          <w:p>
            <w:pPr>
              <w:rPr>
                <w:b/>
              </w:rPr>
            </w:pPr>
          </w:p>
        </w:tc>
        <w:tc>
          <w:tcPr>
            <w:tcW w:w="290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/>
        </w:tc>
        <w:tc>
          <w:tcPr>
            <w:tcW w:w="2905" w:type="dxa"/>
            <w:noWrap w:val="0"/>
            <w:vAlign w:val="top"/>
          </w:tcPr>
          <w:p>
            <w:r>
              <w:t>2.Hệ thống sẽ hiện bảng điều khiển chung của odoo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>3.</w:t>
            </w:r>
            <w:r>
              <w:rPr>
                <w:rFonts w:hint="default"/>
                <w:lang w:val="en-US"/>
              </w:rPr>
              <w:t>Actor</w:t>
            </w:r>
            <w:r>
              <w:rPr>
                <w:rFonts w:hint="default"/>
              </w:rPr>
              <w:t xml:space="preserve"> chọn ứng dụng</w:t>
            </w:r>
            <w:r>
              <w:t xml:space="preserve"> </w:t>
            </w:r>
            <w:r>
              <w:rPr>
                <w:rFonts w:hint="default"/>
                <w:lang w:val="en-US"/>
              </w:rPr>
              <w:t>"Inventory".</w:t>
            </w:r>
          </w:p>
          <w:p/>
        </w:tc>
        <w:tc>
          <w:tcPr>
            <w:tcW w:w="290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/>
        </w:tc>
        <w:tc>
          <w:tcPr>
            <w:tcW w:w="290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t xml:space="preserve">4. </w:t>
            </w:r>
            <w:r>
              <w:rPr>
                <w:rFonts w:hint="default"/>
              </w:rPr>
              <w:t>Hệ thống chuyển đến trang "Inventory Overview"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di </w:t>
            </w:r>
            <w:r>
              <w:rPr>
                <w:rFonts w:hint="default"/>
              </w:rPr>
              <w:t>chuột qua</w:t>
            </w:r>
            <w:r>
              <w:rPr>
                <w:rFonts w:hint="default"/>
                <w:lang w:val="en-US"/>
              </w:rPr>
              <w:t xml:space="preserve"> “Reporting”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default"/>
                <w:lang w:val="en-US"/>
              </w:rPr>
              <w:t xml:space="preserve">và </w:t>
            </w:r>
            <w:r>
              <w:rPr>
                <w:rFonts w:hint="default"/>
              </w:rPr>
              <w:t xml:space="preserve">nhấp </w:t>
            </w:r>
            <w:r>
              <w:rPr>
                <w:rFonts w:hint="default"/>
                <w:lang w:val="en-US"/>
              </w:rPr>
              <w:t>vào một loại báo cáo.</w:t>
            </w:r>
          </w:p>
        </w:tc>
        <w:tc>
          <w:tcPr>
            <w:tcW w:w="290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/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b/>
              </w:rPr>
            </w:pPr>
            <w:r>
              <w:rPr>
                <w:rFonts w:hint="default"/>
                <w:lang w:val="en-US"/>
              </w:rPr>
              <w:t>Hệ thống chuyển đến trang báo cáo đã chọn và hiển thị một loạt bộ lọc hoặc thiết lập của các thông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</w:pPr>
            <w:r>
              <w:rPr>
                <w:rFonts w:hint="default"/>
                <w:lang w:val="en-US"/>
              </w:rPr>
              <w:t>Actor nhấp vào các tùy chọn  mong muốn để xem trong báo cáo.</w:t>
            </w:r>
          </w:p>
        </w:tc>
        <w:tc>
          <w:tcPr>
            <w:tcW w:w="2905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/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Hệ thống hiển thị những báo cáo thông qua các lựa chọn.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Actor di chuột vào “Reporting” và nhấp chuột vào “Stock Expiry Report” để in báo cáo.</w:t>
            </w:r>
          </w:p>
        </w:tc>
        <w:tc>
          <w:tcPr>
            <w:tcW w:w="2905" w:type="dxa"/>
            <w:noWrap w:val="0"/>
            <w:vAlign w:val="top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default"/>
                <w:lang w:val="en-US"/>
              </w:rPr>
              <w:t>Hệ thống hiển thị một biểu mẫu mới để in báo cáo.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Actor điền vào các trường dữ liệu bắt buộc.</w:t>
            </w:r>
          </w:p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Actor chọn “Print Excel” hoặc “Print PDF” </w:t>
            </w:r>
            <w:r>
              <w:rPr>
                <w:rFonts w:hint="default"/>
                <w:b/>
                <w:bCs w:val="0"/>
                <w:lang w:val="en-US"/>
              </w:rPr>
              <w:t>A1.</w:t>
            </w:r>
          </w:p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/>
                <w:lang w:val="en-US"/>
              </w:rPr>
            </w:pPr>
          </w:p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Hệ thống hiển thị một biểu mẫu thông báo đã in thành công.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Actor chọn “Download”</w:t>
            </w:r>
            <w:r>
              <w:rPr>
                <w:rFonts w:hint="default"/>
                <w:b/>
                <w:bCs w:val="0"/>
                <w:lang w:val="en-US"/>
              </w:rPr>
              <w:t>A2</w:t>
            </w:r>
          </w:p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33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/>
                <w:lang w:val="en-US"/>
              </w:rPr>
            </w:pPr>
          </w:p>
        </w:tc>
        <w:tc>
          <w:tcPr>
            <w:tcW w:w="290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Hệ thống kiểm tra và lưu dữ liệu và kết thúc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022" w:type="dxa"/>
            <w:vMerge w:val="restart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b/>
                <w:lang w:val="en-US"/>
              </w:rPr>
              <w:t>A1</w:t>
            </w:r>
            <w:r>
              <w:rPr>
                <w:bCs/>
                <w:lang w:val="en-US"/>
              </w:rPr>
              <w:t xml:space="preserve">. Actor chọn ‘cancel’. Trở về bước </w:t>
            </w:r>
            <w:r>
              <w:rPr>
                <w:rFonts w:hint="default"/>
                <w:bCs/>
                <w:lang w:val="en-US"/>
              </w:rPr>
              <w:t>10 của Reporting.</w:t>
            </w:r>
          </w:p>
          <w:p>
            <w:pPr>
              <w:rPr>
                <w:rFonts w:hint="default"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022" w:type="dxa"/>
            <w:vMerge w:val="continue"/>
            <w:noWrap w:val="0"/>
            <w:vAlign w:val="top"/>
          </w:tcPr>
          <w:p>
            <w:pPr>
              <w:rPr>
                <w:b/>
              </w:rPr>
            </w:pP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A2. Actor chọn “Close”. Trở về bước 13 của Reporting.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022" w:type="dxa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220" w:type="dxa"/>
            <w:gridSpan w:val="2"/>
            <w:noWrap w:val="0"/>
            <w:vAlign w:val="top"/>
          </w:tcPr>
          <w:p>
            <w:r>
              <w:t>None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3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Activity Diagram:</w:t>
            </w:r>
          </w:p>
          <w:p>
            <w:pPr>
              <w:rPr>
                <w:b/>
              </w:rPr>
            </w:pPr>
            <w:r>
              <w:drawing>
                <wp:inline distT="0" distB="0" distL="114300" distR="114300">
                  <wp:extent cx="5597525" cy="8856345"/>
                  <wp:effectExtent l="0" t="0" r="3175" b="1905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525" cy="885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/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B117A"/>
    <w:multiLevelType w:val="singleLevel"/>
    <w:tmpl w:val="D18B117A"/>
    <w:lvl w:ilvl="0" w:tentative="0">
      <w:start w:val="5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06E56"/>
    <w:rsid w:val="0A506E56"/>
    <w:rsid w:val="3ED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2023-10-23T06:01:00Z</dcterms:created>
  <dc:creator>KHOA</dc:creator>
  <cp:lastModifiedBy>google1589971554</cp:lastModifiedBy>
  <dcterms:modified xsi:type="dcterms:W3CDTF">2023-11-18T08:26:42Z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95795F48181F42F484DC8AACB233140E_11</vt:lpwstr>
  </property>
</Properties>
</file>