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98"/>
        <w:gridCol w:w="3080"/>
        <w:gridCol w:w="2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noWrap w:val="0"/>
            <w:vAlign w:val="top"/>
          </w:tcPr>
          <w:p>
            <w:pPr>
              <w:pStyle w:val="2"/>
              <w:numPr>
                <w:ilvl w:val="0"/>
                <w:numId w:val="0"/>
              </w:numPr>
              <w:jc w:val="center"/>
            </w:pPr>
            <w:r>
              <w:drawing>
                <wp:inline distT="0" distB="0" distL="114300" distR="114300">
                  <wp:extent cx="5271135" cy="2539365"/>
                  <wp:effectExtent l="0" t="0" r="5715" b="1333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5271135" cy="253936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33" w:type="dxa"/>
            <w:noWrap w:val="0"/>
            <w:vAlign w:val="top"/>
          </w:tcPr>
          <w:p>
            <w:pPr>
              <w:rPr>
                <w:b/>
              </w:rPr>
            </w:pPr>
            <w:r>
              <w:rPr>
                <w:b/>
              </w:rPr>
              <w:t xml:space="preserve">Use Case Number:  </w:t>
            </w:r>
          </w:p>
        </w:tc>
        <w:tc>
          <w:tcPr>
            <w:tcW w:w="5489" w:type="dxa"/>
            <w:gridSpan w:val="2"/>
            <w:noWrap w:val="0"/>
            <w:vAlign w:val="top"/>
          </w:tcPr>
          <w:p>
            <w:pPr>
              <w:pStyle w:val="2"/>
              <w:numPr>
                <w:ilvl w:val="0"/>
                <w:numId w:val="0"/>
              </w:numPr>
              <w:rPr>
                <w:rFonts w:hint="default" w:ascii="Calibri (Body)" w:hAnsi="Calibri (Body)" w:cs="Calibri (Body)"/>
                <w:b/>
                <w:bCs/>
                <w:lang w:val="en-US"/>
              </w:rPr>
            </w:pPr>
            <w:r>
              <w:rPr>
                <w:rFonts w:hint="default" w:ascii="Calibri (Body)" w:hAnsi="Calibri (Body)" w:cs="Calibri (Body)"/>
                <w:b/>
                <w:bCs/>
                <w:lang w:val="en-US"/>
              </w:rPr>
              <w:t>UC8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3033" w:type="dxa"/>
            <w:noWrap w:val="0"/>
            <w:vAlign w:val="top"/>
          </w:tcPr>
          <w:p>
            <w:pPr>
              <w:rPr>
                <w:b/>
              </w:rPr>
            </w:pPr>
            <w:r>
              <w:rPr>
                <w:b/>
              </w:rPr>
              <w:t>Use Case Name:</w:t>
            </w:r>
          </w:p>
        </w:tc>
        <w:tc>
          <w:tcPr>
            <w:tcW w:w="5489" w:type="dxa"/>
            <w:gridSpan w:val="2"/>
            <w:noWrap w:val="0"/>
            <w:vAlign w:val="top"/>
          </w:tcPr>
          <w:p>
            <w:pPr>
              <w:keepNext w:val="0"/>
              <w:keepLines w:val="0"/>
              <w:widowControl/>
              <w:suppressLineNumbers w:val="0"/>
              <w:jc w:val="left"/>
              <w:rPr>
                <w:rFonts w:hint="default"/>
                <w:b/>
                <w:bCs/>
                <w:sz w:val="24"/>
                <w:szCs w:val="24"/>
                <w:lang w:val="en-US"/>
              </w:rPr>
            </w:pPr>
            <w:r>
              <w:rPr>
                <w:rFonts w:hint="default" w:ascii="Calibri (Body)" w:hAnsi="Calibri (Body)" w:eastAsia="SimSun" w:cs="Calibri (Body)"/>
                <w:b/>
                <w:bCs/>
                <w:color w:val="000000"/>
                <w:kern w:val="0"/>
                <w:sz w:val="24"/>
                <w:szCs w:val="24"/>
                <w:lang w:val="en-US" w:eastAsia="zh-CN" w:bidi="ar"/>
              </w:rPr>
              <w:t>Unit Of measure.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33" w:type="dxa"/>
            <w:noWrap w:val="0"/>
            <w:vAlign w:val="top"/>
          </w:tcPr>
          <w:p>
            <w:pPr>
              <w:rPr>
                <w:b/>
              </w:rPr>
            </w:pPr>
            <w:r>
              <w:rPr>
                <w:b/>
              </w:rPr>
              <w:t>Actor (s):</w:t>
            </w:r>
          </w:p>
        </w:tc>
        <w:tc>
          <w:tcPr>
            <w:tcW w:w="5489" w:type="dxa"/>
            <w:gridSpan w:val="2"/>
            <w:noWrap w:val="0"/>
            <w:vAlign w:val="top"/>
          </w:tcPr>
          <w:p>
            <w:pPr>
              <w:rPr>
                <w:rFonts w:hint="default"/>
                <w:lang w:val="en-US"/>
              </w:rPr>
            </w:pPr>
            <w:r>
              <w:rPr>
                <w:rFonts w:hint="default"/>
                <w:lang w:val="en-US"/>
              </w:rPr>
              <w:t>Admin,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33" w:type="dxa"/>
            <w:noWrap w:val="0"/>
            <w:vAlign w:val="top"/>
          </w:tcPr>
          <w:p>
            <w:pPr>
              <w:rPr>
                <w:b/>
              </w:rPr>
            </w:pPr>
            <w:r>
              <w:rPr>
                <w:b/>
              </w:rPr>
              <w:t xml:space="preserve">Maturity: </w:t>
            </w:r>
          </w:p>
        </w:tc>
        <w:tc>
          <w:tcPr>
            <w:tcW w:w="5489" w:type="dxa"/>
            <w:gridSpan w:val="2"/>
            <w:noWrap w:val="0"/>
            <w:vAlign w:val="top"/>
          </w:tcPr>
          <w:p>
            <w:r>
              <w:t>Focused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33" w:type="dxa"/>
            <w:noWrap w:val="0"/>
            <w:vAlign w:val="top"/>
          </w:tcPr>
          <w:p>
            <w:pPr>
              <w:rPr>
                <w:b/>
              </w:rPr>
            </w:pPr>
            <w:r>
              <w:rPr>
                <w:b/>
              </w:rPr>
              <w:t>Summary:</w:t>
            </w:r>
          </w:p>
        </w:tc>
        <w:tc>
          <w:tcPr>
            <w:tcW w:w="5489" w:type="dxa"/>
            <w:gridSpan w:val="2"/>
            <w:noWrap w:val="0"/>
            <w:vAlign w:val="top"/>
          </w:tcPr>
          <w:p>
            <w:pPr>
              <w:rPr>
                <w:rFonts w:hint="default"/>
                <w:lang w:val="en-US"/>
              </w:rPr>
            </w:pPr>
            <w:r>
              <w:rPr>
                <w:rFonts w:hint="default"/>
              </w:rPr>
              <w:t>Quản trị viên có thể điều chỉnh và giám sát cấu hình các đơn vị đo lường cho các sản phẩm trong kho, bao gồm tên đơn vị, danh mục, loại (tham chiếu, lớn hơn, nhỏ hơn so với tham chiếu) và tỷ lệ giữa các đơn vị</w:t>
            </w:r>
            <w:r>
              <w:rPr>
                <w:rFonts w:hint="default"/>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033" w:type="dxa"/>
            <w:vMerge w:val="restart"/>
            <w:noWrap w:val="0"/>
            <w:vAlign w:val="top"/>
          </w:tcPr>
          <w:p>
            <w:pPr>
              <w:rPr>
                <w:b/>
              </w:rPr>
            </w:pPr>
            <w:r>
              <w:rPr>
                <w:b/>
              </w:rPr>
              <w:t>Basic Course of Events:</w:t>
            </w:r>
          </w:p>
        </w:tc>
        <w:tc>
          <w:tcPr>
            <w:tcW w:w="2664" w:type="dxa"/>
            <w:noWrap w:val="0"/>
            <w:vAlign w:val="top"/>
          </w:tcPr>
          <w:p>
            <w:pPr>
              <w:rPr>
                <w:b/>
              </w:rPr>
            </w:pPr>
            <w:r>
              <w:rPr>
                <w:b/>
              </w:rPr>
              <w:t>Actor Action</w:t>
            </w:r>
          </w:p>
          <w:p>
            <w:pPr>
              <w:rPr>
                <w:b/>
              </w:rPr>
            </w:pPr>
          </w:p>
        </w:tc>
        <w:tc>
          <w:tcPr>
            <w:tcW w:w="2825" w:type="dxa"/>
            <w:noWrap w:val="0"/>
            <w:vAlign w:val="top"/>
          </w:tcPr>
          <w:p>
            <w:pPr>
              <w:rPr>
                <w:b/>
              </w:rPr>
            </w:pPr>
            <w:r>
              <w:rPr>
                <w:b/>
              </w:rPr>
              <w:t>System Response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trPr>
        <w:tc>
          <w:tcPr>
            <w:tcW w:w="3033" w:type="dxa"/>
            <w:vMerge w:val="continue"/>
            <w:noWrap w:val="0"/>
            <w:vAlign w:val="top"/>
          </w:tcPr>
          <w:p>
            <w:pPr>
              <w:rPr>
                <w:b/>
              </w:rPr>
            </w:pPr>
          </w:p>
        </w:tc>
        <w:tc>
          <w:tcPr>
            <w:tcW w:w="2664" w:type="dxa"/>
            <w:noWrap w:val="0"/>
            <w:vAlign w:val="top"/>
          </w:tcPr>
          <w:p>
            <w:pPr>
              <w:rPr>
                <w:b/>
              </w:rPr>
            </w:pPr>
            <w:r>
              <w:t>1.</w:t>
            </w:r>
            <w:r>
              <w:rPr>
                <w:rFonts w:hint="default"/>
              </w:rPr>
              <w:t>Thực hiện {Xác thực Đăng nhập}</w:t>
            </w:r>
          </w:p>
          <w:p>
            <w:pPr>
              <w:rPr>
                <w:b/>
              </w:rPr>
            </w:pPr>
          </w:p>
        </w:tc>
        <w:tc>
          <w:tcPr>
            <w:tcW w:w="2825"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trPr>
        <w:tc>
          <w:tcPr>
            <w:tcW w:w="3033" w:type="dxa"/>
            <w:vMerge w:val="continue"/>
            <w:noWrap w:val="0"/>
            <w:vAlign w:val="top"/>
          </w:tcPr>
          <w:p>
            <w:pPr>
              <w:rPr>
                <w:b/>
              </w:rPr>
            </w:pPr>
          </w:p>
        </w:tc>
        <w:tc>
          <w:tcPr>
            <w:tcW w:w="2664" w:type="dxa"/>
            <w:noWrap w:val="0"/>
            <w:vAlign w:val="top"/>
          </w:tcPr>
          <w:p/>
        </w:tc>
        <w:tc>
          <w:tcPr>
            <w:tcW w:w="2825" w:type="dxa"/>
            <w:noWrap w:val="0"/>
            <w:vAlign w:val="top"/>
          </w:tcPr>
          <w:p>
            <w:pPr>
              <w:rPr>
                <w:rFonts w:hint="default"/>
                <w:lang w:val="en-US"/>
              </w:rPr>
            </w:pPr>
            <w:r>
              <w:t>2. Hệ thống sẽ hiện bảng điều khiển chung của odoo</w:t>
            </w:r>
            <w:r>
              <w:rPr>
                <w:rFonts w:hint="default"/>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trPr>
        <w:tc>
          <w:tcPr>
            <w:tcW w:w="3033" w:type="dxa"/>
            <w:vMerge w:val="continue"/>
            <w:noWrap w:val="0"/>
            <w:vAlign w:val="top"/>
          </w:tcPr>
          <w:p>
            <w:pPr>
              <w:rPr>
                <w:b/>
              </w:rPr>
            </w:pPr>
          </w:p>
        </w:tc>
        <w:tc>
          <w:tcPr>
            <w:tcW w:w="2664" w:type="dxa"/>
            <w:noWrap w:val="0"/>
            <w:vAlign w:val="top"/>
          </w:tcPr>
          <w:p>
            <w:pPr>
              <w:rPr>
                <w:rFonts w:hint="default"/>
                <w:lang w:val="en-US"/>
              </w:rPr>
            </w:pPr>
            <w:r>
              <w:t>3.</w:t>
            </w:r>
            <w:r>
              <w:rPr>
                <w:rFonts w:hint="default"/>
              </w:rPr>
              <w:t>Quản trị viên chọn ứng dụng</w:t>
            </w:r>
            <w:r>
              <w:t xml:space="preserve"> </w:t>
            </w:r>
            <w:r>
              <w:rPr>
                <w:rFonts w:hint="default"/>
                <w:lang w:val="en-US"/>
              </w:rPr>
              <w:t>"Inventory"</w:t>
            </w:r>
          </w:p>
          <w:p/>
        </w:tc>
        <w:tc>
          <w:tcPr>
            <w:tcW w:w="2825"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033" w:type="dxa"/>
            <w:vMerge w:val="continue"/>
            <w:noWrap w:val="0"/>
            <w:vAlign w:val="top"/>
          </w:tcPr>
          <w:p>
            <w:pPr>
              <w:rPr>
                <w:b/>
              </w:rPr>
            </w:pPr>
          </w:p>
        </w:tc>
        <w:tc>
          <w:tcPr>
            <w:tcW w:w="2664" w:type="dxa"/>
            <w:noWrap w:val="0"/>
            <w:vAlign w:val="top"/>
          </w:tcPr>
          <w:p/>
        </w:tc>
        <w:tc>
          <w:tcPr>
            <w:tcW w:w="2825" w:type="dxa"/>
            <w:noWrap w:val="0"/>
            <w:vAlign w:val="top"/>
          </w:tcPr>
          <w:p>
            <w:pPr>
              <w:rPr>
                <w:rFonts w:hint="default"/>
                <w:lang w:val="en-US"/>
              </w:rPr>
            </w:pPr>
            <w:r>
              <w:t xml:space="preserve">4. </w:t>
            </w:r>
            <w:r>
              <w:rPr>
                <w:rFonts w:hint="default"/>
              </w:rPr>
              <w:t>Hệ thống chuyển đến trang "Inventory Overview"</w:t>
            </w:r>
            <w:r>
              <w:rPr>
                <w:rFonts w:hint="default"/>
                <w:lang w:val="en-US"/>
              </w:rPr>
              <w:t>.</w:t>
            </w:r>
          </w:p>
          <w:p>
            <w:pP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3033" w:type="dxa"/>
            <w:vMerge w:val="continue"/>
            <w:noWrap w:val="0"/>
            <w:vAlign w:val="top"/>
          </w:tcPr>
          <w:p>
            <w:pPr>
              <w:rPr>
                <w:b/>
              </w:rPr>
            </w:pPr>
          </w:p>
        </w:tc>
        <w:tc>
          <w:tcPr>
            <w:tcW w:w="2664" w:type="dxa"/>
            <w:noWrap w:val="0"/>
            <w:vAlign w:val="top"/>
          </w:tcPr>
          <w:p>
            <w:pPr>
              <w:rPr>
                <w:rFonts w:hint="default"/>
                <w:lang w:val="en-US"/>
              </w:rPr>
            </w:pPr>
            <w:r>
              <w:t xml:space="preserve">5. </w:t>
            </w:r>
            <w:r>
              <w:rPr>
                <w:rFonts w:hint="default"/>
              </w:rPr>
              <w:t>Quản trị viên di chuột qua"Configurations" và chọn tùy chọn "Unit of Measure"</w:t>
            </w:r>
            <w:r>
              <w:rPr>
                <w:rFonts w:hint="default"/>
                <w:lang w:val="en-US"/>
              </w:rPr>
              <w:t>.</w:t>
            </w:r>
          </w:p>
          <w:p/>
        </w:tc>
        <w:tc>
          <w:tcPr>
            <w:tcW w:w="2825"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3033" w:type="dxa"/>
            <w:vMerge w:val="continue"/>
            <w:noWrap w:val="0"/>
            <w:vAlign w:val="top"/>
          </w:tcPr>
          <w:p>
            <w:pPr>
              <w:rPr>
                <w:b/>
              </w:rPr>
            </w:pPr>
          </w:p>
        </w:tc>
        <w:tc>
          <w:tcPr>
            <w:tcW w:w="2664" w:type="dxa"/>
            <w:noWrap w:val="0"/>
            <w:vAlign w:val="top"/>
          </w:tcPr>
          <w:p/>
        </w:tc>
        <w:tc>
          <w:tcPr>
            <w:tcW w:w="2825" w:type="dxa"/>
            <w:noWrap w:val="0"/>
            <w:vAlign w:val="top"/>
          </w:tcPr>
          <w:p>
            <w:pPr>
              <w:rPr>
                <w:b/>
              </w:rPr>
            </w:pPr>
            <w:r>
              <w:t xml:space="preserve">6. </w:t>
            </w:r>
            <w:r>
              <w:rPr>
                <w:rFonts w:hint="default"/>
              </w:rPr>
              <w:t>Hệ thống chuyển đến trang mới trong ứng dụng Đơn vị đo lường.</w:t>
            </w:r>
          </w:p>
          <w:p>
            <w:pP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3033" w:type="dxa"/>
            <w:vMerge w:val="continue"/>
            <w:noWrap w:val="0"/>
            <w:vAlign w:val="top"/>
          </w:tcPr>
          <w:p>
            <w:pPr>
              <w:rPr>
                <w:b/>
              </w:rPr>
            </w:pPr>
          </w:p>
        </w:tc>
        <w:tc>
          <w:tcPr>
            <w:tcW w:w="2664" w:type="dxa"/>
            <w:noWrap w:val="0"/>
            <w:vAlign w:val="top"/>
          </w:tcPr>
          <w:p>
            <w:r>
              <w:t>7.</w:t>
            </w:r>
            <w:r>
              <w:rPr>
                <w:rFonts w:hint="default"/>
              </w:rPr>
              <w:t xml:space="preserve"> Quản trị viên nhấp vào tùy chọn</w:t>
            </w:r>
            <w:r>
              <w:rPr>
                <w:rFonts w:hint="default"/>
                <w:lang w:val="en-US"/>
              </w:rPr>
              <w:t xml:space="preserve"> </w:t>
            </w:r>
            <w:r>
              <w:rPr>
                <w:rFonts w:hint="default"/>
              </w:rPr>
              <w:t>"Create"</w:t>
            </w:r>
          </w:p>
          <w:p/>
        </w:tc>
        <w:tc>
          <w:tcPr>
            <w:tcW w:w="2825"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3033" w:type="dxa"/>
            <w:vMerge w:val="continue"/>
            <w:noWrap w:val="0"/>
            <w:vAlign w:val="top"/>
          </w:tcPr>
          <w:p>
            <w:pPr>
              <w:rPr>
                <w:b/>
              </w:rPr>
            </w:pPr>
          </w:p>
        </w:tc>
        <w:tc>
          <w:tcPr>
            <w:tcW w:w="2664" w:type="dxa"/>
            <w:noWrap w:val="0"/>
            <w:vAlign w:val="top"/>
          </w:tcPr>
          <w:p/>
        </w:tc>
        <w:tc>
          <w:tcPr>
            <w:tcW w:w="2825" w:type="dxa"/>
            <w:noWrap w:val="0"/>
            <w:vAlign w:val="top"/>
          </w:tcPr>
          <w:p>
            <w:pPr>
              <w:numPr>
                <w:ilvl w:val="0"/>
                <w:numId w:val="2"/>
              </w:numPr>
              <w:rPr>
                <w:rFonts w:hint="default"/>
                <w:lang w:val="en-US"/>
              </w:rPr>
            </w:pPr>
            <w:r>
              <w:rPr>
                <w:rFonts w:hint="default"/>
                <w:lang w:val="en-US"/>
              </w:rPr>
              <w:t>Hệ thống hiển thị một biểu mẫu.</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3033" w:type="dxa"/>
            <w:vMerge w:val="continue"/>
            <w:noWrap w:val="0"/>
            <w:vAlign w:val="top"/>
          </w:tcPr>
          <w:p>
            <w:pPr>
              <w:rPr>
                <w:b/>
              </w:rPr>
            </w:pPr>
          </w:p>
        </w:tc>
        <w:tc>
          <w:tcPr>
            <w:tcW w:w="2664" w:type="dxa"/>
            <w:noWrap w:val="0"/>
            <w:vAlign w:val="top"/>
          </w:tcPr>
          <w:p>
            <w:r>
              <w:t xml:space="preserve">9. </w:t>
            </w:r>
            <w:r>
              <w:rPr>
                <w:rFonts w:hint="default"/>
              </w:rPr>
              <w:t>Quản trị viên cần điền vào các trường bắt buộc để tạo mục mới</w:t>
            </w:r>
          </w:p>
        </w:tc>
        <w:tc>
          <w:tcPr>
            <w:tcW w:w="2825" w:type="dxa"/>
            <w:noWrap w:val="0"/>
            <w:vAlign w:val="top"/>
          </w:tcPr>
          <w:p>
            <w:pP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3033" w:type="dxa"/>
            <w:vMerge w:val="continue"/>
            <w:noWrap w:val="0"/>
            <w:vAlign w:val="top"/>
          </w:tcPr>
          <w:p>
            <w:pPr>
              <w:rPr>
                <w:b/>
              </w:rPr>
            </w:pPr>
          </w:p>
        </w:tc>
        <w:tc>
          <w:tcPr>
            <w:tcW w:w="2664" w:type="dxa"/>
            <w:noWrap w:val="0"/>
            <w:vAlign w:val="top"/>
          </w:tcPr>
          <w:p>
            <w:pPr>
              <w:rPr>
                <w:rFonts w:hint="default"/>
                <w:b/>
                <w:lang w:val="en-US"/>
              </w:rPr>
            </w:pPr>
            <w:r>
              <w:t>10.</w:t>
            </w:r>
            <w:r>
              <w:rPr>
                <w:rFonts w:hint="default"/>
                <w:lang w:val="en-US"/>
              </w:rPr>
              <w:t>Q</w:t>
            </w:r>
            <w:r>
              <w:rPr>
                <w:rFonts w:hint="default"/>
              </w:rPr>
              <w:t xml:space="preserve">uản trị viên nhấp vào nút </w:t>
            </w:r>
            <w:r>
              <w:rPr>
                <w:rFonts w:hint="default"/>
                <w:lang w:val="en-US"/>
              </w:rPr>
              <w:t>“Save”</w:t>
            </w:r>
          </w:p>
          <w:p/>
        </w:tc>
        <w:tc>
          <w:tcPr>
            <w:tcW w:w="2825"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3033" w:type="dxa"/>
            <w:vMerge w:val="continue"/>
            <w:noWrap w:val="0"/>
            <w:vAlign w:val="top"/>
          </w:tcPr>
          <w:p>
            <w:pPr>
              <w:rPr>
                <w:b/>
              </w:rPr>
            </w:pPr>
          </w:p>
        </w:tc>
        <w:tc>
          <w:tcPr>
            <w:tcW w:w="2664" w:type="dxa"/>
            <w:noWrap w:val="0"/>
            <w:vAlign w:val="top"/>
          </w:tcPr>
          <w:p>
            <w:pPr>
              <w:rPr>
                <w:b/>
              </w:rPr>
            </w:pPr>
          </w:p>
        </w:tc>
        <w:tc>
          <w:tcPr>
            <w:tcW w:w="2825" w:type="dxa"/>
            <w:noWrap w:val="0"/>
            <w:vAlign w:val="top"/>
          </w:tcPr>
          <w:p>
            <w:pPr>
              <w:rPr>
                <w:rFonts w:hint="default"/>
                <w:lang w:val="en-US"/>
              </w:rPr>
            </w:pPr>
            <w:r>
              <w:rPr>
                <w:rFonts w:hint="default"/>
                <w:lang w:val="en-US"/>
              </w:rPr>
              <w:t>11.Hệ thống sẽ lưu dữ liệu và kết thúc use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0" w:hRule="atLeast"/>
        </w:trPr>
        <w:tc>
          <w:tcPr>
            <w:tcW w:w="3033" w:type="dxa"/>
            <w:noWrap w:val="0"/>
            <w:vAlign w:val="top"/>
          </w:tcPr>
          <w:p>
            <w:pPr>
              <w:rPr>
                <w:b/>
              </w:rPr>
            </w:pPr>
            <w:r>
              <w:rPr>
                <w:b/>
              </w:rPr>
              <w:t>Alternative Paths:</w:t>
            </w:r>
          </w:p>
        </w:tc>
        <w:tc>
          <w:tcPr>
            <w:tcW w:w="5489" w:type="dxa"/>
            <w:gridSpan w:val="2"/>
            <w:noWrap w:val="0"/>
            <w:vAlign w:val="top"/>
          </w:tcPr>
          <w:p>
            <w:pPr>
              <w:rPr>
                <w:rFonts w:hint="default"/>
                <w:lang w:val="en-US"/>
              </w:rPr>
            </w:pPr>
            <w:r>
              <w:rPr>
                <w:rFonts w:hint="default"/>
                <w:lang w:val="en-US"/>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0" w:hRule="atLeast"/>
        </w:trPr>
        <w:tc>
          <w:tcPr>
            <w:tcW w:w="3033" w:type="dxa"/>
            <w:noWrap w:val="0"/>
            <w:vAlign w:val="top"/>
          </w:tcPr>
          <w:p>
            <w:pPr>
              <w:rPr>
                <w:b/>
              </w:rPr>
            </w:pPr>
            <w:r>
              <w:rPr>
                <w:b/>
              </w:rPr>
              <w:t>Exception Paths:</w:t>
            </w:r>
          </w:p>
        </w:tc>
        <w:tc>
          <w:tcPr>
            <w:tcW w:w="5489" w:type="dxa"/>
            <w:gridSpan w:val="2"/>
            <w:noWrap w:val="0"/>
            <w:vAlign w:val="top"/>
          </w:tcPr>
          <w:p>
            <w:pPr>
              <w:rPr>
                <w:rFonts w:hint="default"/>
                <w:lang w:val="en-US"/>
              </w:rPr>
            </w:pPr>
            <w:r>
              <w:rPr>
                <w:rFonts w:hint="default"/>
                <w:lang w:val="en-US"/>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3033" w:type="dxa"/>
            <w:noWrap w:val="0"/>
            <w:vAlign w:val="top"/>
          </w:tcPr>
          <w:p>
            <w:pPr>
              <w:rPr>
                <w:b/>
              </w:rPr>
            </w:pPr>
            <w:r>
              <w:rPr>
                <w:b/>
              </w:rPr>
              <w:t>Extension Points:</w:t>
            </w:r>
          </w:p>
        </w:tc>
        <w:tc>
          <w:tcPr>
            <w:tcW w:w="5489" w:type="dxa"/>
            <w:gridSpan w:val="2"/>
            <w:noWrap w:val="0"/>
            <w:vAlign w:val="top"/>
          </w:tcPr>
          <w:p>
            <w:r>
              <w:t>None</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noWrap w:val="0"/>
            <w:vAlign w:val="top"/>
          </w:tcPr>
          <w:p>
            <w:r>
              <w:rPr>
                <w:b/>
              </w:rPr>
              <w:t>Activity Diagram:</w:t>
            </w:r>
          </w:p>
          <w:p>
            <w:pPr>
              <w:jc w:val="center"/>
            </w:pPr>
            <w:r>
              <w:drawing>
                <wp:inline distT="0" distB="0" distL="114300" distR="114300">
                  <wp:extent cx="5271770" cy="8364220"/>
                  <wp:effectExtent l="0" t="0" r="5080" b="1778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5271770" cy="8364220"/>
                          </a:xfrm>
                          <a:prstGeom prst="rect">
                            <a:avLst/>
                          </a:prstGeom>
                          <a:noFill/>
                          <a:ln>
                            <a:noFill/>
                          </a:ln>
                        </pic:spPr>
                      </pic:pic>
                    </a:graphicData>
                  </a:graphic>
                </wp:inline>
              </w:drawing>
            </w:r>
          </w:p>
          <w:p/>
        </w:tc>
      </w:tr>
    </w:tbl>
    <w:p>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 w:name="Calibri (Body)">
    <w:altName w:val="Calibr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lvlText w:val="%1.%2"/>
      <w:legacy w:legacy="1" w:legacySpace="144" w:legacyIndent="0"/>
      <w:lvlJc w:val="left"/>
    </w:lvl>
    <w:lvl w:ilvl="2" w:tentative="0">
      <w:start w:val="1"/>
      <w:numFmt w:val="decimal"/>
      <w:lvlText w:val="%1.%2.%3"/>
      <w:legacy w:legacy="1" w:legacySpace="144" w:legacyIndent="0"/>
      <w:lvlJc w:val="left"/>
    </w:lvl>
    <w:lvl w:ilvl="3" w:tentative="0">
      <w:start w:val="1"/>
      <w:numFmt w:val="decimal"/>
      <w:lvlText w:val="%1.%2.%3.%4"/>
      <w:legacy w:legacy="1" w:legacySpace="144" w:legacyIndent="0"/>
      <w:lvlJc w:val="left"/>
    </w:lvl>
    <w:lvl w:ilvl="4" w:tentative="0">
      <w:start w:val="1"/>
      <w:numFmt w:val="decimal"/>
      <w:lvlText w:val="%1.%2.%3.%4.%5"/>
      <w:legacy w:legacy="1" w:legacySpace="144" w:legacyIndent="0"/>
      <w:lvlJc w:val="left"/>
    </w:lvl>
    <w:lvl w:ilvl="5" w:tentative="0">
      <w:start w:val="1"/>
      <w:numFmt w:val="decimal"/>
      <w:lvlText w:val="%1.%2.%3.%4.%5.%6"/>
      <w:legacy w:legacy="1" w:legacySpace="144" w:legacyIndent="0"/>
      <w:lvlJc w:val="left"/>
    </w:lvl>
    <w:lvl w:ilvl="6" w:tentative="0">
      <w:start w:val="1"/>
      <w:numFmt w:val="decimal"/>
      <w:lvlText w:val="%1.%2.%3.%4.%5.%6.%7"/>
      <w:legacy w:legacy="1" w:legacySpace="144" w:legacyIndent="0"/>
      <w:lvlJc w:val="left"/>
    </w:lvl>
    <w:lvl w:ilvl="7" w:tentative="0">
      <w:start w:val="1"/>
      <w:numFmt w:val="decimal"/>
      <w:lvlText w:val="%1.%2.%3.%4.%5.%6.%7.%8"/>
      <w:legacy w:legacy="1" w:legacySpace="144" w:legacyIndent="0"/>
      <w:lvlJc w:val="left"/>
    </w:lvl>
    <w:lvl w:ilvl="8" w:tentative="0">
      <w:start w:val="1"/>
      <w:numFmt w:val="decimal"/>
      <w:lvlText w:val="%1.%2.%3.%4.%5.%6.%7.%8.%9"/>
      <w:legacy w:legacy="1" w:legacySpace="144" w:legacyIndent="0"/>
      <w:lvlJc w:val="left"/>
    </w:lvl>
  </w:abstractNum>
  <w:abstractNum w:abstractNumId="1">
    <w:nsid w:val="469EB618"/>
    <w:multiLevelType w:val="singleLevel"/>
    <w:tmpl w:val="469EB618"/>
    <w:lvl w:ilvl="0" w:tentative="0">
      <w:start w:val="8"/>
      <w:numFmt w:val="decimal"/>
      <w:suff w:val="space"/>
      <w:lvlText w:val="%1."/>
      <w:lvlJc w:val="left"/>
      <w:rPr>
        <w:rFonts w:hint="default"/>
        <w:b w:val="0"/>
        <w:bCs w:val="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6E4E67"/>
    <w:rsid w:val="666E4E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vi-VN" w:eastAsia="en-US" w:bidi="ar-SA"/>
      <w14:ligatures w14:val="standardContextual"/>
    </w:rPr>
  </w:style>
  <w:style w:type="paragraph" w:styleId="2">
    <w:name w:val="heading 1"/>
    <w:basedOn w:val="1"/>
    <w:next w:val="1"/>
    <w:qFormat/>
    <w:uiPriority w:val="0"/>
    <w:pPr>
      <w:keepNext/>
      <w:widowControl w:val="0"/>
      <w:numPr>
        <w:ilvl w:val="0"/>
        <w:numId w:val="1"/>
      </w:numPr>
      <w:spacing w:before="120" w:after="60" w:line="240" w:lineRule="atLeast"/>
      <w:ind w:left="720" w:hanging="720"/>
      <w:outlineLvl w:val="0"/>
    </w:pPr>
    <w:rPr>
      <w:rFonts w:ascii="Arial" w:hAnsi="Arial" w:eastAsia="Times New Roman" w:cs="Times New Roman"/>
      <w:b/>
      <w:kern w:val="0"/>
      <w:sz w:val="24"/>
      <w:szCs w:val="20"/>
      <w:lang w:val="en-US"/>
      <w14:ligatures w14:val="none"/>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table" w:styleId="5">
    <w:name w:val="Table Grid"/>
    <w:basedOn w:val="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2023-10-23T05:53:00Z</dcterms:created>
  <dc:creator>KHOA</dc:creator>
  <cp:lastModifiedBy>KHOA</cp:lastModifiedBy>
  <dcterms:modified xsi:type="dcterms:W3CDTF">2023-10-23T05:54:45Z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CCF1BDFFCBD14CCCA6EF5BBAB78FF8C8_11</vt:lpwstr>
  </property>
</Properties>
</file>