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5"/>
        <w:gridCol w:w="3131"/>
        <w:gridCol w:w="2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gridSpan w:val="3"/>
            <w:noWrap w:val="0"/>
            <w:vAlign w:val="top"/>
          </w:tcPr>
          <w:p>
            <w:pPr>
              <w:pStyle w:val="2"/>
              <w:numPr>
                <w:ilvl w:val="0"/>
                <w:numId w:val="0"/>
              </w:numPr>
              <w:jc w:val="center"/>
            </w:pPr>
            <w:r>
              <w:drawing>
                <wp:inline distT="0" distB="0" distL="114300" distR="114300">
                  <wp:extent cx="5271770" cy="2499360"/>
                  <wp:effectExtent l="0" t="0" r="5080" b="1524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5271770" cy="249936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6" w:type="dxa"/>
            <w:noWrap w:val="0"/>
            <w:vAlign w:val="top"/>
          </w:tcPr>
          <w:p>
            <w:pPr>
              <w:rPr>
                <w:b/>
              </w:rPr>
            </w:pPr>
            <w:bookmarkStart w:id="0" w:name="_GoBack" w:colFirst="1" w:colLast="2"/>
            <w:r>
              <w:rPr>
                <w:b/>
              </w:rPr>
              <w:t xml:space="preserve">Use Case Number:  </w:t>
            </w:r>
          </w:p>
        </w:tc>
        <w:tc>
          <w:tcPr>
            <w:tcW w:w="6076" w:type="dxa"/>
            <w:gridSpan w:val="2"/>
            <w:noWrap w:val="0"/>
            <w:vAlign w:val="top"/>
          </w:tcPr>
          <w:p>
            <w:pPr>
              <w:pStyle w:val="2"/>
              <w:numPr>
                <w:ilvl w:val="0"/>
                <w:numId w:val="0"/>
              </w:numPr>
              <w:rPr>
                <w:rFonts w:hint="default" w:ascii="Calibri (Body)" w:hAnsi="Calibri (Body)" w:cs="Calibri (Body)"/>
                <w:b/>
                <w:bCs/>
                <w:lang w:val="en-US"/>
              </w:rPr>
            </w:pPr>
            <w:r>
              <w:rPr>
                <w:rFonts w:hint="default" w:ascii="Calibri (Body)" w:hAnsi="Calibri (Body)" w:cs="Calibri (Body)"/>
                <w:b/>
                <w:bCs/>
                <w:lang w:val="en-US"/>
              </w:rPr>
              <w:t>UC9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166" w:type="dxa"/>
            <w:noWrap w:val="0"/>
            <w:vAlign w:val="top"/>
          </w:tcPr>
          <w:p>
            <w:pPr>
              <w:rPr>
                <w:b/>
              </w:rPr>
            </w:pPr>
            <w:r>
              <w:rPr>
                <w:b/>
              </w:rPr>
              <w:t>Use Case Name:</w:t>
            </w:r>
          </w:p>
        </w:tc>
        <w:tc>
          <w:tcPr>
            <w:tcW w:w="6076" w:type="dxa"/>
            <w:gridSpan w:val="2"/>
            <w:noWrap w:val="0"/>
            <w:vAlign w:val="top"/>
          </w:tcPr>
          <w:p>
            <w:pPr>
              <w:keepNext w:val="0"/>
              <w:keepLines w:val="0"/>
              <w:widowControl/>
              <w:suppressLineNumbers w:val="0"/>
              <w:jc w:val="left"/>
              <w:rPr>
                <w:rFonts w:hint="default"/>
                <w:b/>
                <w:bCs/>
                <w:sz w:val="24"/>
                <w:szCs w:val="24"/>
                <w:lang w:val="en-US"/>
              </w:rPr>
            </w:pPr>
            <w:r>
              <w:rPr>
                <w:rFonts w:hint="default"/>
                <w:b/>
                <w:bCs/>
                <w:sz w:val="24"/>
                <w:szCs w:val="24"/>
                <w:lang w:val="en-US"/>
              </w:rPr>
              <w:t>Reordering Rules</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6" w:type="dxa"/>
            <w:noWrap w:val="0"/>
            <w:vAlign w:val="top"/>
          </w:tcPr>
          <w:p>
            <w:pPr>
              <w:rPr>
                <w:b/>
              </w:rPr>
            </w:pPr>
            <w:r>
              <w:rPr>
                <w:b/>
              </w:rPr>
              <w:t>Actor (s):</w:t>
            </w:r>
          </w:p>
        </w:tc>
        <w:tc>
          <w:tcPr>
            <w:tcW w:w="6076" w:type="dxa"/>
            <w:gridSpan w:val="2"/>
            <w:noWrap w:val="0"/>
            <w:vAlign w:val="top"/>
          </w:tcPr>
          <w:p>
            <w:pPr>
              <w:rPr>
                <w:rFonts w:hint="default"/>
                <w:lang w:val="en-US"/>
              </w:rPr>
            </w:pPr>
            <w:r>
              <w:rPr>
                <w:rFonts w:hint="default"/>
                <w:lang w:val="en-US"/>
              </w:rPr>
              <w:t>Admin,User.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6" w:type="dxa"/>
            <w:noWrap w:val="0"/>
            <w:vAlign w:val="top"/>
          </w:tcPr>
          <w:p>
            <w:pPr>
              <w:rPr>
                <w:b/>
              </w:rPr>
            </w:pPr>
            <w:r>
              <w:rPr>
                <w:b/>
              </w:rPr>
              <w:t xml:space="preserve">Maturity: </w:t>
            </w:r>
          </w:p>
        </w:tc>
        <w:tc>
          <w:tcPr>
            <w:tcW w:w="6076" w:type="dxa"/>
            <w:gridSpan w:val="2"/>
            <w:noWrap w:val="0"/>
            <w:vAlign w:val="top"/>
          </w:tcPr>
          <w:p>
            <w:r>
              <w:t>Focused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6" w:type="dxa"/>
            <w:noWrap w:val="0"/>
            <w:vAlign w:val="top"/>
          </w:tcPr>
          <w:p>
            <w:pPr>
              <w:rPr>
                <w:b/>
              </w:rPr>
            </w:pPr>
            <w:r>
              <w:rPr>
                <w:b/>
              </w:rPr>
              <w:t>Summary:</w:t>
            </w:r>
          </w:p>
        </w:tc>
        <w:tc>
          <w:tcPr>
            <w:tcW w:w="6076" w:type="dxa"/>
            <w:gridSpan w:val="2"/>
            <w:noWrap w:val="0"/>
            <w:vAlign w:val="top"/>
          </w:tcPr>
          <w:p>
            <w:r>
              <w:rPr>
                <w:rFonts w:hint="default"/>
              </w:rPr>
              <w:t>Quản trị viên có thể tạo các quy tắc đặt hàng lại tùy chỉnh để tự động nạp lại tồn kho dựa trên các tiêu chí cụ thể. Những quy tắc này giúp duy trì mức tồn kho đủ cho các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166" w:type="dxa"/>
            <w:vMerge w:val="restart"/>
            <w:noWrap w:val="0"/>
            <w:vAlign w:val="top"/>
          </w:tcPr>
          <w:p>
            <w:pPr>
              <w:rPr>
                <w:b/>
              </w:rPr>
            </w:pPr>
            <w:r>
              <w:rPr>
                <w:b/>
              </w:rPr>
              <w:t>Basic Course of Events:</w:t>
            </w:r>
          </w:p>
        </w:tc>
        <w:tc>
          <w:tcPr>
            <w:tcW w:w="3132" w:type="dxa"/>
            <w:noWrap w:val="0"/>
            <w:vAlign w:val="top"/>
          </w:tcPr>
          <w:p>
            <w:pPr>
              <w:rPr>
                <w:b/>
              </w:rPr>
            </w:pPr>
            <w:r>
              <w:rPr>
                <w:b/>
              </w:rPr>
              <w:t>Actor Action</w:t>
            </w:r>
          </w:p>
          <w:p>
            <w:pPr>
              <w:rPr>
                <w:b/>
              </w:rPr>
            </w:pPr>
          </w:p>
        </w:tc>
        <w:tc>
          <w:tcPr>
            <w:tcW w:w="2944" w:type="dxa"/>
            <w:noWrap w:val="0"/>
            <w:vAlign w:val="top"/>
          </w:tcPr>
          <w:p>
            <w:pPr>
              <w:rPr>
                <w:b/>
              </w:rPr>
            </w:pPr>
            <w:r>
              <w:rPr>
                <w:b/>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3166" w:type="dxa"/>
            <w:vMerge w:val="continue"/>
            <w:noWrap w:val="0"/>
            <w:vAlign w:val="top"/>
          </w:tcPr>
          <w:p>
            <w:pPr>
              <w:rPr>
                <w:b/>
              </w:rPr>
            </w:pPr>
          </w:p>
        </w:tc>
        <w:tc>
          <w:tcPr>
            <w:tcW w:w="3132" w:type="dxa"/>
            <w:noWrap w:val="0"/>
            <w:vAlign w:val="top"/>
          </w:tcPr>
          <w:p>
            <w:pPr>
              <w:rPr>
                <w:b/>
              </w:rPr>
            </w:pPr>
            <w:r>
              <w:t xml:space="preserve">1. </w:t>
            </w:r>
            <w:r>
              <w:rPr>
                <w:rFonts w:hint="default"/>
              </w:rPr>
              <w:t xml:space="preserve">Thực hiện </w:t>
            </w:r>
            <w:r>
              <w:rPr>
                <w:rFonts w:hint="default"/>
                <w:b/>
                <w:bCs/>
              </w:rPr>
              <w:t>{Xác thực Đăng nhập}</w:t>
            </w:r>
          </w:p>
        </w:tc>
        <w:tc>
          <w:tcPr>
            <w:tcW w:w="2944"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3166" w:type="dxa"/>
            <w:vMerge w:val="continue"/>
            <w:noWrap w:val="0"/>
            <w:vAlign w:val="top"/>
          </w:tcPr>
          <w:p>
            <w:pPr>
              <w:rPr>
                <w:b/>
              </w:rPr>
            </w:pPr>
          </w:p>
        </w:tc>
        <w:tc>
          <w:tcPr>
            <w:tcW w:w="3132" w:type="dxa"/>
            <w:noWrap w:val="0"/>
            <w:vAlign w:val="top"/>
          </w:tcPr>
          <w:p/>
        </w:tc>
        <w:tc>
          <w:tcPr>
            <w:tcW w:w="2944" w:type="dxa"/>
            <w:noWrap w:val="0"/>
            <w:vAlign w:val="top"/>
          </w:tcPr>
          <w:p>
            <w:r>
              <w:t>2. Hệ thống sẽ hiện bảng điều khiển chung của odoo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3166" w:type="dxa"/>
            <w:vMerge w:val="continue"/>
            <w:noWrap w:val="0"/>
            <w:vAlign w:val="top"/>
          </w:tcPr>
          <w:p>
            <w:pPr>
              <w:rPr>
                <w:b/>
              </w:rPr>
            </w:pPr>
          </w:p>
        </w:tc>
        <w:tc>
          <w:tcPr>
            <w:tcW w:w="3132" w:type="dxa"/>
            <w:noWrap w:val="0"/>
            <w:vAlign w:val="top"/>
          </w:tcPr>
          <w:p>
            <w:pPr>
              <w:rPr>
                <w:rFonts w:hint="default"/>
                <w:lang w:val="en-US"/>
              </w:rPr>
            </w:pPr>
            <w:r>
              <w:t xml:space="preserve">3. </w:t>
            </w:r>
            <w:r>
              <w:rPr>
                <w:rFonts w:hint="default"/>
                <w:lang w:val="en-US"/>
              </w:rPr>
              <w:t xml:space="preserve"> Quản trị viên chọn ứng dụng "Inventory".</w:t>
            </w:r>
          </w:p>
          <w:p/>
        </w:tc>
        <w:tc>
          <w:tcPr>
            <w:tcW w:w="2944"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166" w:type="dxa"/>
            <w:vMerge w:val="continue"/>
            <w:noWrap w:val="0"/>
            <w:vAlign w:val="top"/>
          </w:tcPr>
          <w:p>
            <w:pPr>
              <w:rPr>
                <w:b/>
              </w:rPr>
            </w:pPr>
          </w:p>
        </w:tc>
        <w:tc>
          <w:tcPr>
            <w:tcW w:w="3132" w:type="dxa"/>
            <w:noWrap w:val="0"/>
            <w:vAlign w:val="top"/>
          </w:tcPr>
          <w:p/>
        </w:tc>
        <w:tc>
          <w:tcPr>
            <w:tcW w:w="2944" w:type="dxa"/>
            <w:noWrap w:val="0"/>
            <w:vAlign w:val="top"/>
          </w:tcPr>
          <w:p>
            <w:pPr>
              <w:rPr>
                <w:rFonts w:hint="default"/>
                <w:lang w:val="en-US"/>
              </w:rPr>
            </w:pPr>
            <w:r>
              <w:t xml:space="preserve">4. </w:t>
            </w:r>
            <w:r>
              <w:rPr>
                <w:rFonts w:hint="default"/>
              </w:rPr>
              <w:t>Hệ thống chuyển đến trang</w:t>
            </w:r>
            <w:r>
              <w:rPr>
                <w:rFonts w:hint="default"/>
                <w:lang w:val="en-US"/>
              </w:rPr>
              <w:t xml:space="preserve"> </w:t>
            </w:r>
            <w:r>
              <w:rPr>
                <w:rFonts w:hint="default"/>
              </w:rPr>
              <w:t>"Inventory Overview"</w:t>
            </w:r>
            <w:r>
              <w:rPr>
                <w:rFonts w:hint="default"/>
                <w:lang w:val="en-US"/>
              </w:rPr>
              <w:t>.</w:t>
            </w:r>
          </w:p>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3166" w:type="dxa"/>
            <w:vMerge w:val="continue"/>
            <w:noWrap w:val="0"/>
            <w:vAlign w:val="top"/>
          </w:tcPr>
          <w:p>
            <w:pPr>
              <w:rPr>
                <w:b/>
              </w:rPr>
            </w:pPr>
          </w:p>
        </w:tc>
        <w:tc>
          <w:tcPr>
            <w:tcW w:w="3132" w:type="dxa"/>
            <w:noWrap w:val="0"/>
            <w:vAlign w:val="top"/>
          </w:tcPr>
          <w:p>
            <w:r>
              <w:t xml:space="preserve">5. </w:t>
            </w:r>
            <w:r>
              <w:rPr>
                <w:rFonts w:hint="default"/>
              </w:rPr>
              <w:t>Quản trị viên nhấp vào</w:t>
            </w:r>
            <w:r>
              <w:rPr>
                <w:rFonts w:hint="default"/>
                <w:lang w:val="en-US"/>
              </w:rPr>
              <w:t xml:space="preserve"> “</w:t>
            </w:r>
            <w:r>
              <w:rPr>
                <w:rFonts w:hint="default"/>
                <w:sz w:val="24"/>
                <w:szCs w:val="24"/>
                <w:lang w:val="en-US"/>
              </w:rPr>
              <w:t>Reordering Rules</w:t>
            </w:r>
            <w:r>
              <w:rPr>
                <w:rFonts w:hint="default"/>
                <w:lang w:val="en-US"/>
              </w:rPr>
              <w:t>”</w:t>
            </w:r>
            <w:r>
              <w:rPr>
                <w:rFonts w:hint="default"/>
              </w:rPr>
              <w:t>.</w:t>
            </w:r>
          </w:p>
          <w:p/>
        </w:tc>
        <w:tc>
          <w:tcPr>
            <w:tcW w:w="2944"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3166" w:type="dxa"/>
            <w:vMerge w:val="continue"/>
            <w:noWrap w:val="0"/>
            <w:vAlign w:val="top"/>
          </w:tcPr>
          <w:p>
            <w:pPr>
              <w:rPr>
                <w:b/>
              </w:rPr>
            </w:pPr>
          </w:p>
        </w:tc>
        <w:tc>
          <w:tcPr>
            <w:tcW w:w="3132" w:type="dxa"/>
            <w:noWrap w:val="0"/>
            <w:vAlign w:val="top"/>
          </w:tcPr>
          <w:p/>
        </w:tc>
        <w:tc>
          <w:tcPr>
            <w:tcW w:w="2944" w:type="dxa"/>
            <w:noWrap w:val="0"/>
            <w:vAlign w:val="top"/>
          </w:tcPr>
          <w:p>
            <w:pPr>
              <w:rPr>
                <w:rFonts w:hint="default"/>
                <w:b/>
                <w:lang w:val="en-US"/>
              </w:rPr>
            </w:pPr>
            <w:r>
              <w:t xml:space="preserve">6. </w:t>
            </w:r>
            <w:r>
              <w:rPr>
                <w:rFonts w:hint="default"/>
              </w:rPr>
              <w:t xml:space="preserve">Hệ thống chuyển đến trang </w:t>
            </w:r>
            <w:r>
              <w:rPr>
                <w:rFonts w:hint="default"/>
                <w:lang w:val="en-US"/>
              </w:rPr>
              <w:t>“Reordering Rules”</w:t>
            </w:r>
          </w:p>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3166" w:type="dxa"/>
            <w:vMerge w:val="continue"/>
            <w:noWrap w:val="0"/>
            <w:vAlign w:val="top"/>
          </w:tcPr>
          <w:p>
            <w:pPr>
              <w:rPr>
                <w:b/>
              </w:rPr>
            </w:pPr>
          </w:p>
        </w:tc>
        <w:tc>
          <w:tcPr>
            <w:tcW w:w="3132" w:type="dxa"/>
            <w:noWrap w:val="0"/>
            <w:vAlign w:val="top"/>
          </w:tcPr>
          <w:p>
            <w:r>
              <w:t>7.</w:t>
            </w:r>
            <w:r>
              <w:rPr>
                <w:rFonts w:hint="default"/>
              </w:rPr>
              <w:t xml:space="preserve">Quản trị viên chọn tùy chọn "Create" </w:t>
            </w:r>
          </w:p>
          <w:p/>
        </w:tc>
        <w:tc>
          <w:tcPr>
            <w:tcW w:w="2944"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3166" w:type="dxa"/>
            <w:vMerge w:val="continue"/>
            <w:noWrap w:val="0"/>
            <w:vAlign w:val="top"/>
          </w:tcPr>
          <w:p>
            <w:pPr>
              <w:rPr>
                <w:b/>
              </w:rPr>
            </w:pPr>
          </w:p>
        </w:tc>
        <w:tc>
          <w:tcPr>
            <w:tcW w:w="3132" w:type="dxa"/>
            <w:noWrap w:val="0"/>
            <w:vAlign w:val="top"/>
          </w:tcPr>
          <w:p/>
        </w:tc>
        <w:tc>
          <w:tcPr>
            <w:tcW w:w="2944" w:type="dxa"/>
            <w:noWrap w:val="0"/>
            <w:vAlign w:val="top"/>
          </w:tcPr>
          <w:p>
            <w:pPr>
              <w:rPr>
                <w:rFonts w:hint="default"/>
                <w:lang w:val="en-US"/>
              </w:rPr>
            </w:pPr>
            <w:r>
              <w:rPr>
                <w:rFonts w:hint="default"/>
              </w:rPr>
              <w:t>Hệ thống hiển thị biểu mẫu để tạo một quy tắc đặt hàng lại mới</w:t>
            </w:r>
            <w:r>
              <w:rPr>
                <w:rFonts w:hint="default"/>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3166" w:type="dxa"/>
            <w:vMerge w:val="continue"/>
            <w:noWrap w:val="0"/>
            <w:vAlign w:val="top"/>
          </w:tcPr>
          <w:p>
            <w:pPr>
              <w:rPr>
                <w:b/>
              </w:rPr>
            </w:pPr>
          </w:p>
        </w:tc>
        <w:tc>
          <w:tcPr>
            <w:tcW w:w="3132" w:type="dxa"/>
            <w:noWrap w:val="0"/>
            <w:vAlign w:val="top"/>
          </w:tcPr>
          <w:p>
            <w:pPr>
              <w:rPr>
                <w:rFonts w:hint="default"/>
                <w:lang w:val="en-US"/>
              </w:rPr>
            </w:pPr>
            <w:r>
              <w:t xml:space="preserve">9. </w:t>
            </w:r>
            <w:r>
              <w:rPr>
                <w:rFonts w:hint="default"/>
              </w:rPr>
              <w:t>Quản trị viên điền vào các trường bắt buộc để xác định quy tắc đặt hàng lại mới.</w:t>
            </w:r>
            <w:r>
              <w:rPr>
                <w:rFonts w:hint="default"/>
                <w:lang w:val="en-US"/>
              </w:rPr>
              <w:t>(Minimum Quality,Maximum Quantity,..)</w:t>
            </w:r>
          </w:p>
          <w:p/>
        </w:tc>
        <w:tc>
          <w:tcPr>
            <w:tcW w:w="2944" w:type="dxa"/>
            <w:noWrap w:val="0"/>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3166" w:type="dxa"/>
            <w:vMerge w:val="continue"/>
            <w:noWrap w:val="0"/>
            <w:vAlign w:val="top"/>
          </w:tcPr>
          <w:p>
            <w:pPr>
              <w:rPr>
                <w:b/>
              </w:rPr>
            </w:pPr>
          </w:p>
        </w:tc>
        <w:tc>
          <w:tcPr>
            <w:tcW w:w="3132" w:type="dxa"/>
            <w:noWrap w:val="0"/>
            <w:vAlign w:val="top"/>
          </w:tcPr>
          <w:p>
            <w:r>
              <w:t xml:space="preserve">10. </w:t>
            </w:r>
            <w:r>
              <w:rPr>
                <w:rFonts w:hint="default"/>
              </w:rPr>
              <w:t xml:space="preserve">Sau khi hoàn tất các trường bắt buộc, quản trị viên nhấp vào nút </w:t>
            </w:r>
            <w:r>
              <w:rPr>
                <w:rFonts w:hint="default"/>
                <w:lang w:val="en-US"/>
              </w:rPr>
              <w:t>“Save”</w:t>
            </w:r>
            <w:r>
              <w:rPr>
                <w:rFonts w:hint="default"/>
              </w:rPr>
              <w:t xml:space="preserve"> để tạo quy tắc.</w:t>
            </w:r>
          </w:p>
        </w:tc>
        <w:tc>
          <w:tcPr>
            <w:tcW w:w="2944"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3166" w:type="dxa"/>
            <w:vMerge w:val="continue"/>
            <w:noWrap w:val="0"/>
            <w:vAlign w:val="top"/>
          </w:tcPr>
          <w:p>
            <w:pPr>
              <w:rPr>
                <w:b/>
              </w:rPr>
            </w:pPr>
          </w:p>
        </w:tc>
        <w:tc>
          <w:tcPr>
            <w:tcW w:w="3132" w:type="dxa"/>
            <w:noWrap w:val="0"/>
            <w:vAlign w:val="top"/>
          </w:tcPr>
          <w:p>
            <w:pPr>
              <w:rPr>
                <w:b/>
              </w:rPr>
            </w:pPr>
          </w:p>
        </w:tc>
        <w:tc>
          <w:tcPr>
            <w:tcW w:w="2944" w:type="dxa"/>
            <w:noWrap w:val="0"/>
            <w:vAlign w:val="top"/>
          </w:tcPr>
          <w:p>
            <w:pPr>
              <w:rPr>
                <w:rFonts w:hint="default"/>
                <w:lang w:val="en-US"/>
              </w:rPr>
            </w:pPr>
            <w:r>
              <w:rPr>
                <w:rFonts w:hint="default"/>
                <w:lang w:val="en-US"/>
              </w:rPr>
              <w:t>11.Hệ thống lưu quy tắc và kết thúc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3166" w:type="dxa"/>
            <w:noWrap w:val="0"/>
            <w:vAlign w:val="top"/>
          </w:tcPr>
          <w:p>
            <w:pPr>
              <w:rPr>
                <w:b/>
              </w:rPr>
            </w:pPr>
            <w:r>
              <w:rPr>
                <w:b/>
              </w:rPr>
              <w:t>Alternative Paths:</w:t>
            </w:r>
          </w:p>
        </w:tc>
        <w:tc>
          <w:tcPr>
            <w:tcW w:w="6076" w:type="dxa"/>
            <w:gridSpan w:val="2"/>
            <w:noWrap w:val="0"/>
            <w:vAlign w:val="top"/>
          </w:tcPr>
          <w:p>
            <w:pPr>
              <w:rPr>
                <w:rFonts w:hint="default"/>
                <w:lang w:val="en-US"/>
              </w:rPr>
            </w:pPr>
            <w:r>
              <w:rPr>
                <w:rFonts w:hint="default"/>
                <w:lang w:val="en-U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3166" w:type="dxa"/>
            <w:noWrap w:val="0"/>
            <w:vAlign w:val="top"/>
          </w:tcPr>
          <w:p>
            <w:pPr>
              <w:rPr>
                <w:b/>
              </w:rPr>
            </w:pPr>
            <w:r>
              <w:rPr>
                <w:b/>
              </w:rPr>
              <w:t>Exception Paths:</w:t>
            </w:r>
          </w:p>
        </w:tc>
        <w:tc>
          <w:tcPr>
            <w:tcW w:w="6076" w:type="dxa"/>
            <w:gridSpan w:val="2"/>
            <w:noWrap w:val="0"/>
            <w:vAlign w:val="top"/>
          </w:tcPr>
          <w:p>
            <w:pPr>
              <w:rPr>
                <w:rFonts w:hint="default"/>
                <w:lang w:val="en-US"/>
              </w:rPr>
            </w:pPr>
            <w:r>
              <w:rPr>
                <w:rFonts w:hint="default"/>
                <w:lang w:val="en-U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3166" w:type="dxa"/>
            <w:noWrap w:val="0"/>
            <w:vAlign w:val="top"/>
          </w:tcPr>
          <w:p>
            <w:pPr>
              <w:rPr>
                <w:b/>
              </w:rPr>
            </w:pPr>
            <w:r>
              <w:rPr>
                <w:b/>
              </w:rPr>
              <w:t>Extension Points:</w:t>
            </w:r>
          </w:p>
        </w:tc>
        <w:tc>
          <w:tcPr>
            <w:tcW w:w="6076" w:type="dxa"/>
            <w:gridSpan w:val="2"/>
            <w:noWrap w:val="0"/>
            <w:vAlign w:val="top"/>
          </w:tcPr>
          <w:p>
            <w:r>
              <w:t>None</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gridSpan w:val="3"/>
            <w:noWrap w:val="0"/>
            <w:vAlign w:val="top"/>
          </w:tcPr>
          <w:p>
            <w:pPr>
              <w:rPr>
                <w:rFonts w:hint="default"/>
                <w:lang w:val="en-US"/>
              </w:rPr>
            </w:pPr>
            <w:r>
              <w:rPr>
                <w:b/>
              </w:rPr>
              <w:t>Activity Diagram:</w:t>
            </w:r>
            <w:r>
              <w:rPr>
                <w:rFonts w:hint="default"/>
                <w:b/>
                <w:lang w:val="en-US"/>
              </w:rPr>
              <w:t xml:space="preserve"> </w:t>
            </w:r>
          </w:p>
          <w:p>
            <w:pPr>
              <w:jc w:val="center"/>
            </w:pPr>
            <w:r>
              <w:drawing>
                <wp:inline distT="0" distB="0" distL="114300" distR="114300">
                  <wp:extent cx="5272405" cy="6713855"/>
                  <wp:effectExtent l="0" t="0" r="4445" b="10795"/>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6"/>
                          <pic:cNvPicPr>
                            <a:picLocks noChangeAspect="1"/>
                          </pic:cNvPicPr>
                        </pic:nvPicPr>
                        <pic:blipFill>
                          <a:blip r:embed="rId7"/>
                          <a:stretch>
                            <a:fillRect/>
                          </a:stretch>
                        </pic:blipFill>
                        <pic:spPr>
                          <a:xfrm>
                            <a:off x="0" y="0"/>
                            <a:ext cx="5272405" cy="6713855"/>
                          </a:xfrm>
                          <a:prstGeom prst="rect">
                            <a:avLst/>
                          </a:prstGeom>
                          <a:noFill/>
                          <a:ln>
                            <a:noFill/>
                          </a:ln>
                        </pic:spPr>
                      </pic:pic>
                    </a:graphicData>
                  </a:graphic>
                </wp:inline>
              </w:drawing>
            </w:r>
          </w:p>
          <w:p/>
        </w:tc>
      </w:tr>
    </w:tbl>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Calibri (Body)">
    <w:altName w:val="Calibr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lvlText w:val="%1.%2"/>
      <w:legacy w:legacy="1" w:legacySpace="144" w:legacyIndent="0"/>
      <w:lvlJc w:val="left"/>
    </w:lvl>
    <w:lvl w:ilvl="2" w:tentative="0">
      <w:start w:val="1"/>
      <w:numFmt w:val="decimal"/>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93542C"/>
    <w:rsid w:val="50935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vi-VN" w:eastAsia="en-US" w:bidi="ar-SA"/>
      <w14:ligatures w14:val="standardContextual"/>
    </w:rPr>
  </w:style>
  <w:style w:type="paragraph" w:styleId="2">
    <w:name w:val="heading 1"/>
    <w:basedOn w:val="1"/>
    <w:next w:val="1"/>
    <w:qFormat/>
    <w:uiPriority w:val="0"/>
    <w:pPr>
      <w:keepNext/>
      <w:widowControl w:val="0"/>
      <w:numPr>
        <w:ilvl w:val="0"/>
        <w:numId w:val="1"/>
      </w:numPr>
      <w:spacing w:before="120" w:after="60" w:line="240" w:lineRule="atLeast"/>
      <w:ind w:left="720" w:hanging="720"/>
      <w:outlineLvl w:val="0"/>
    </w:pPr>
    <w:rPr>
      <w:rFonts w:ascii="Arial" w:hAnsi="Arial" w:eastAsia="Times New Roman" w:cs="Times New Roman"/>
      <w:b/>
      <w:kern w:val="0"/>
      <w:sz w:val="24"/>
      <w:szCs w:val="20"/>
      <w:lang w:val="en-US"/>
      <w14:ligatures w14:val="none"/>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2023-10-23T05:54:00Z</dcterms:created>
  <dc:creator>KHOA</dc:creator>
  <cp:lastModifiedBy>KHOA</cp:lastModifiedBy>
  <dcterms:modified xsi:type="dcterms:W3CDTF">2023-10-23T05:56:05Z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3BC970256CCD46D2AEE47F278C5C2D03_11</vt:lpwstr>
  </property>
</Properties>
</file>