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7"/>
          <w:szCs w:val="27"/>
        </w:rPr>
      </w:pPr>
      <w:r w:rsidDel="00000000" w:rsidR="00000000" w:rsidRPr="00000000">
        <w:rPr>
          <w:rtl w:val="0"/>
        </w:rPr>
      </w:r>
    </w:p>
    <w:tbl>
      <w:tblPr>
        <w:tblStyle w:val="Table1"/>
        <w:tblW w:w="10965.0" w:type="dxa"/>
        <w:jc w:val="left"/>
        <w:tblInd w:w="-8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7560"/>
        <w:tblGridChange w:id="0">
          <w:tblGrid>
            <w:gridCol w:w="3405"/>
            <w:gridCol w:w="7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Thành phần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Mô tả</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 người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Khách hàng sử dụng ứng dụng để đặt món, nhân viên nhà hàng tiếp nhận và chuẩn bị món ăn, tài xế giao đồ ăn, đội ngũ phát triển và vận hành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Thông tin về món ăn (tên, giá, mô tả, hình ảnh), thông tin nhà hàng (tên, địa chỉ, thực đơn), thông tin khách hàng (tên, địa chỉ giao hàng, lịch sử đặt hàng), thông tin tài xế (tên, thông tin liên lạc, vị trí), thông tin đơn hàng (thời gian đặt, trạng thái, địa điểm giao).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Quy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Quy trình đặt món của khách hàng (tìm kiếm, chọn món, xác nhận đơn hàng, thanh toán), quy trình tiếp nhận và xử lý đơn hàng của nhà hàng, quy trình giao hàng của tài xế, quy trình thanh toán và quản lý doanh thu.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Phần mềm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Ứng dụng di động cho khách hàng và tài xế, phần mềm quản lý đơn hàng cho nhà hàng, hệ thống quản lý cơ sở dữ liệu, hệ thống thanh toán trực tuyến, các API kết nối các thành phần.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Phần cứng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Điện thoại thông minh của khách hàng và tài xế, máy tính của nhân viên nhà hàng, máy chủ chứa dữ liệu và ứng dụng, thiết bị mạng (router, switch), máy in hóa đơn.</w:t>
            </w:r>
          </w:p>
        </w:tc>
      </w:tr>
    </w:tbl>
    <w:p w:rsidR="00000000" w:rsidDel="00000000" w:rsidP="00000000" w:rsidRDefault="00000000" w:rsidRPr="00000000" w14:paraId="0000000E">
      <w:pPr>
        <w:rPr>
          <w:rFonts w:ascii="Times New Roman" w:cs="Times New Roman" w:eastAsia="Times New Roman" w:hAnsi="Times New Roman"/>
          <w:sz w:val="27"/>
          <w:szCs w:val="27"/>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