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LỘ TRÌNH TRIỂN KHAI DỰ ÁN AZB BRAIN</w:t>
      </w:r>
    </w:p>
    <w:p>
      <w:pPr>
        <w:jc w:val="center"/>
      </w:pPr>
      <w:r>
        <w:rPr>
          <w:i/>
        </w:rPr>
        <w:t>Trợ lý AI hiểu về Công ty CP AZB – phục vụ Tổng Giám đốc</w:t>
      </w:r>
    </w:p>
    <w:p>
      <w:pPr>
        <w:jc w:val="center"/>
      </w:pPr>
      <w:r>
        <w:rPr>
          <w:i w:val="0"/>
          <w:sz w:val="20"/>
        </w:rPr>
        <w:t>Ngày lập: 19/10/2026</w:t>
      </w:r>
    </w:p>
    <w:p>
      <w:pPr>
        <w:pStyle w:val="Heading1"/>
      </w:pPr>
      <w:r>
        <w:t>1. Mục tiêu</w:t>
      </w:r>
    </w:p>
    <w:p>
      <w:r>
        <w:rPr>
          <w:i w:val="0"/>
        </w:rPr>
        <w:t>Xây dựng trợ lý AI nắm rõ toàn bộ tổ chức, nhân sự, quy trình và chỉ tiêu của AZB, giúp Tổng Giám đốc tra cứu nhanh, nắm tình hình vận hành và nhận đề xuất cải tiến quy trình, bố trí nhân sự.</w:t>
      </w:r>
    </w:p>
    <w:p>
      <w:pPr>
        <w:pStyle w:val="Heading1"/>
      </w:pPr>
      <w:r>
        <w:t>2. Cách để AI hiểu đúng AZB</w:t>
      </w:r>
    </w:p>
    <w:p>
      <w:pPr>
        <w:pStyle w:val="ListBullet"/>
      </w:pPr>
      <w:r>
        <w:rPr>
          <w:i w:val="0"/>
        </w:rPr>
        <w:t>AI không tự đoán, chỉ trả lời dựa trên dữ liệu thật của công ty được nạp vào: sơ đồ tổ chức, nhân sự, quy trình ISO, chỉ tiêu, hồ sơ dự án.</w:t>
      </w:r>
    </w:p>
    <w:p>
      <w:pPr>
        <w:pStyle w:val="ListBullet"/>
      </w:pPr>
      <w:r>
        <w:rPr>
          <w:i w:val="0"/>
        </w:rPr>
        <w:t>Mỗi câu trả lời đều ghi rõ nguồn tài liệu để đối chiếu.</w:t>
      </w:r>
    </w:p>
    <w:p>
      <w:pPr>
        <w:pStyle w:val="ListBullet"/>
      </w:pPr>
      <w:r>
        <w:rPr>
          <w:i w:val="0"/>
        </w:rPr>
        <w:t>Chỗ nào chưa có dữ liệu, AI báo "chưa có thông tin", không bịa.</w:t>
      </w:r>
    </w:p>
    <w:p>
      <w:r>
        <w:rPr>
          <w:b/>
        </w:rPr>
        <w:t xml:space="preserve">→ </w:t>
      </w:r>
      <w:r>
        <w:rPr>
          <w:i w:val="0"/>
        </w:rPr>
        <w:t>Độ chính xác của AI phụ thuộc vào việc dữ liệu đầu vào có đầy đủ và đúng hay không.</w:t>
      </w:r>
    </w:p>
    <w:p>
      <w:pPr>
        <w:pStyle w:val="Heading1"/>
      </w:pPr>
      <w:r>
        <w:t>3. Lộ trình 5 giai đoạn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871"/>
            <w:shd w:val="clear" w:color="auto" w:fill="1F3A5F"/>
          </w:tcPr>
          <w:p>
            <w:pPr>
              <w:spacing w:after="40"/>
            </w:pPr>
            <w:r/>
            <w:r>
              <w:rPr>
                <w:b/>
                <w:color w:val="FFFFFF"/>
                <w:sz w:val="20"/>
              </w:rPr>
              <w:t>Giai đoạn</w:t>
            </w:r>
          </w:p>
        </w:tc>
        <w:tc>
          <w:tcPr>
            <w:tcW w:type="dxa" w:w="1701"/>
            <w:shd w:val="clear" w:color="auto" w:fill="1F3A5F"/>
          </w:tcPr>
          <w:p>
            <w:pPr>
              <w:spacing w:after="40"/>
            </w:pPr>
            <w:r/>
            <w:r>
              <w:rPr>
                <w:b/>
                <w:color w:val="FFFFFF"/>
                <w:sz w:val="20"/>
              </w:rPr>
              <w:t>Thời gian</w:t>
            </w:r>
          </w:p>
        </w:tc>
        <w:tc>
          <w:tcPr>
            <w:tcW w:type="dxa" w:w="3912"/>
            <w:shd w:val="clear" w:color="auto" w:fill="1F3A5F"/>
          </w:tcPr>
          <w:p>
            <w:pPr>
              <w:spacing w:after="40"/>
            </w:pPr>
            <w:r/>
            <w:r>
              <w:rPr>
                <w:b/>
                <w:color w:val="FFFFFF"/>
                <w:sz w:val="20"/>
              </w:rPr>
              <w:t>Nội dung chính</w:t>
            </w:r>
          </w:p>
        </w:tc>
        <w:tc>
          <w:tcPr>
            <w:tcW w:type="dxa" w:w="2154"/>
            <w:shd w:val="clear" w:color="auto" w:fill="1F3A5F"/>
          </w:tcPr>
          <w:p>
            <w:pPr>
              <w:spacing w:after="40"/>
            </w:pPr>
            <w:r/>
            <w:r>
              <w:rPr>
                <w:b/>
                <w:color w:val="FFFFFF"/>
                <w:sz w:val="20"/>
              </w:rPr>
              <w:t>Kết quả</w:t>
            </w:r>
          </w:p>
        </w:tc>
      </w:tr>
      <w:tr>
        <w:tc>
          <w:tcPr>
            <w:tcW w:type="dxa" w:w="1871"/>
            <w:shd w:val="clear" w:color="auto" w:fill="E8EEF5"/>
          </w:tcPr>
          <w:p>
            <w:pPr>
              <w:spacing w:after="40"/>
            </w:pPr>
            <w:r/>
            <w:r>
              <w:rPr>
                <w:b/>
                <w:sz w:val="20"/>
              </w:rPr>
              <w:t>1. Dựng nền tảng</w:t>
            </w:r>
          </w:p>
        </w:tc>
        <w:tc>
          <w:tcPr>
            <w:tcW w:type="dxa" w:w="1701"/>
          </w:tcPr>
          <w:p>
            <w:pPr>
              <w:spacing w:after="40"/>
            </w:pPr>
            <w:r/>
            <w:r>
              <w:rPr>
                <w:b/>
                <w:color w:val="2E7D32"/>
                <w:sz w:val="20"/>
              </w:rPr>
              <w:t>Đã hoàn thành</w:t>
            </w:r>
          </w:p>
        </w:tc>
        <w:tc>
          <w:tcPr>
            <w:tcW w:type="dxa" w:w="3912"/>
          </w:tcPr>
          <w:p>
            <w:pPr>
              <w:spacing w:after="40"/>
            </w:pPr>
            <w:r/>
            <w:r>
              <w:rPr>
                <w:sz w:val="20"/>
              </w:rPr>
              <w:t>Xây app; nạp sơ đồ điều hành REV02 (01/08/2026); trợ lý hỏi đáp; kho tài liệu (đọc được PDF scan); phân quyền theo vai trò.</w:t>
            </w:r>
          </w:p>
        </w:tc>
        <w:tc>
          <w:tcPr>
            <w:tcW w:type="dxa" w:w="2154"/>
          </w:tcPr>
          <w:p>
            <w:pPr>
              <w:spacing w:after="40"/>
            </w:pPr>
            <w:r/>
            <w:r>
              <w:rPr>
                <w:sz w:val="20"/>
              </w:rPr>
              <w:t>App chạy được, trợ lý AI chỉ mở cho Ban TGĐ.</w:t>
            </w:r>
          </w:p>
        </w:tc>
      </w:tr>
      <w:tr>
        <w:tc>
          <w:tcPr>
            <w:tcW w:type="dxa" w:w="1871"/>
            <w:shd w:val="clear" w:color="auto" w:fill="E8EEF5"/>
          </w:tcPr>
          <w:p>
            <w:pPr>
              <w:spacing w:after="40"/>
            </w:pPr>
            <w:r/>
            <w:r>
              <w:rPr>
                <w:b/>
                <w:sz w:val="20"/>
              </w:rPr>
              <w:t>2. Thu thập dữ liệu</w:t>
            </w:r>
          </w:p>
        </w:tc>
        <w:tc>
          <w:tcPr>
            <w:tcW w:type="dxa" w:w="1701"/>
          </w:tcPr>
          <w:p>
            <w:pPr>
              <w:spacing w:after="40"/>
            </w:pPr>
            <w:r/>
            <w:r>
              <w:rPr>
                <w:sz w:val="20"/>
              </w:rPr>
              <w:t>20/10 – 02/11/2026</w:t>
            </w:r>
          </w:p>
        </w:tc>
        <w:tc>
          <w:tcPr>
            <w:tcW w:type="dxa" w:w="3912"/>
          </w:tcPr>
          <w:p>
            <w:pPr>
              <w:spacing w:after="40"/>
            </w:pPr>
            <w:r/>
            <w:r>
              <w:rPr>
                <w:sz w:val="20"/>
              </w:rPr>
              <w:t>Mỗi phòng ban gửi: nhân sự, chức năng nhiệm vụ, quy trình ISO, chỉ tiêu doanh thu, hồ sơ dự án tiêu biểu. HCNS xác nhận các mục "cần xác nhận".</w:t>
            </w:r>
          </w:p>
        </w:tc>
        <w:tc>
          <w:tcPr>
            <w:tcW w:type="dxa" w:w="2154"/>
          </w:tcPr>
          <w:p>
            <w:pPr>
              <w:spacing w:after="40"/>
            </w:pPr>
            <w:r/>
            <w:r>
              <w:rPr>
                <w:sz w:val="20"/>
              </w:rPr>
              <w:t>Dữ liệu đầy đủ, đã kiểm tra.</w:t>
            </w:r>
          </w:p>
        </w:tc>
      </w:tr>
      <w:tr>
        <w:tc>
          <w:tcPr>
            <w:tcW w:type="dxa" w:w="1871"/>
            <w:shd w:val="clear" w:color="auto" w:fill="E8EEF5"/>
          </w:tcPr>
          <w:p>
            <w:pPr>
              <w:spacing w:after="40"/>
            </w:pPr>
            <w:r/>
            <w:r>
              <w:rPr>
                <w:b/>
                <w:sz w:val="20"/>
              </w:rPr>
              <w:t>3. Chạy thử với TGĐ</w:t>
            </w:r>
          </w:p>
        </w:tc>
        <w:tc>
          <w:tcPr>
            <w:tcW w:type="dxa" w:w="1701"/>
          </w:tcPr>
          <w:p>
            <w:pPr>
              <w:spacing w:after="40"/>
            </w:pPr>
            <w:r/>
            <w:r>
              <w:rPr>
                <w:sz w:val="20"/>
              </w:rPr>
              <w:t>03/11 – 16/11/2026</w:t>
            </w:r>
          </w:p>
        </w:tc>
        <w:tc>
          <w:tcPr>
            <w:tcW w:type="dxa" w:w="3912"/>
          </w:tcPr>
          <w:p>
            <w:pPr>
              <w:spacing w:after="40"/>
            </w:pPr>
            <w:r/>
            <w:r>
              <w:rPr>
                <w:sz w:val="20"/>
              </w:rPr>
              <w:t>Soạn 30–50 câu hỏi TGĐ hay cần (phòng thiếu người, ai kiêm nhiệm, quy trình vướng ở đâu...). TGĐ dùng thử, góp ý; chỉnh dữ liệu đến khi đạt.</w:t>
            </w:r>
          </w:p>
        </w:tc>
        <w:tc>
          <w:tcPr>
            <w:tcW w:type="dxa" w:w="2154"/>
          </w:tcPr>
          <w:p>
            <w:pPr>
              <w:spacing w:after="40"/>
            </w:pPr>
            <w:r/>
            <w:r>
              <w:rPr>
                <w:sz w:val="20"/>
              </w:rPr>
              <w:t>AI trả lời đúng, TGĐ duyệt đưa vào dùng.</w:t>
            </w:r>
          </w:p>
        </w:tc>
      </w:tr>
      <w:tr>
        <w:tc>
          <w:tcPr>
            <w:tcW w:type="dxa" w:w="1871"/>
            <w:shd w:val="clear" w:color="auto" w:fill="E8EEF5"/>
          </w:tcPr>
          <w:p>
            <w:pPr>
              <w:spacing w:after="40"/>
            </w:pPr>
            <w:r/>
            <w:r>
              <w:rPr>
                <w:b/>
                <w:sz w:val="20"/>
              </w:rPr>
              <w:t>4. Đưa vào sử dụng</w:t>
            </w:r>
          </w:p>
        </w:tc>
        <w:tc>
          <w:tcPr>
            <w:tcW w:type="dxa" w:w="1701"/>
          </w:tcPr>
          <w:p>
            <w:pPr>
              <w:spacing w:after="40"/>
            </w:pPr>
            <w:r/>
            <w:r>
              <w:rPr>
                <w:sz w:val="20"/>
              </w:rPr>
              <w:t>Từ 17/11/2026</w:t>
            </w:r>
          </w:p>
        </w:tc>
        <w:tc>
          <w:tcPr>
            <w:tcW w:type="dxa" w:w="3912"/>
          </w:tcPr>
          <w:p>
            <w:pPr>
              <w:spacing w:after="40"/>
            </w:pPr>
            <w:r/>
            <w:r>
              <w:rPr>
                <w:sz w:val="20"/>
              </w:rPr>
              <w:t>Đưa lên máy chủ nội bộ có bảo mật, dùng được trên điện thoại/máy tính. Cập nhật số liệu hàng tháng và ngay khi đổi nhân sự, quy trình.</w:t>
            </w:r>
          </w:p>
        </w:tc>
        <w:tc>
          <w:tcPr>
            <w:tcW w:type="dxa" w:w="2154"/>
          </w:tcPr>
          <w:p>
            <w:pPr>
              <w:spacing w:after="40"/>
            </w:pPr>
            <w:r/>
            <w:r>
              <w:rPr>
                <w:sz w:val="20"/>
              </w:rPr>
              <w:t>TGĐ dùng hằng ngày.</w:t>
            </w:r>
          </w:p>
        </w:tc>
      </w:tr>
      <w:tr>
        <w:tc>
          <w:tcPr>
            <w:tcW w:type="dxa" w:w="1871"/>
            <w:shd w:val="clear" w:color="auto" w:fill="E8EEF5"/>
          </w:tcPr>
          <w:p>
            <w:pPr>
              <w:spacing w:after="40"/>
            </w:pPr>
            <w:r/>
            <w:r>
              <w:rPr>
                <w:b/>
                <w:sz w:val="20"/>
              </w:rPr>
              <w:t>5. Mở rộng</w:t>
            </w:r>
          </w:p>
        </w:tc>
        <w:tc>
          <w:tcPr>
            <w:tcW w:type="dxa" w:w="1701"/>
          </w:tcPr>
          <w:p>
            <w:pPr>
              <w:spacing w:after="40"/>
            </w:pPr>
            <w:r/>
            <w:r>
              <w:rPr>
                <w:sz w:val="20"/>
              </w:rPr>
              <w:t>Quý 1/2027</w:t>
            </w:r>
          </w:p>
        </w:tc>
        <w:tc>
          <w:tcPr>
            <w:tcW w:type="dxa" w:w="3912"/>
          </w:tcPr>
          <w:p>
            <w:pPr>
              <w:spacing w:after="40"/>
            </w:pPr>
            <w:r/>
            <w:r>
              <w:rPr>
                <w:sz w:val="20"/>
              </w:rPr>
              <w:t>Kết nối số liệu kế toán, tiến độ dự án. AI gửi báo cáo tuần và đề xuất cải tiến quy trình, bố trí nhân sự.</w:t>
            </w:r>
          </w:p>
        </w:tc>
        <w:tc>
          <w:tcPr>
            <w:tcW w:type="dxa" w:w="2154"/>
          </w:tcPr>
          <w:p>
            <w:pPr>
              <w:spacing w:after="40"/>
            </w:pPr>
            <w:r/>
            <w:r>
              <w:rPr>
                <w:sz w:val="20"/>
              </w:rPr>
              <w:t>Trợ lý chủ động hỗ trợ điều hành.</w:t>
            </w:r>
          </w:p>
        </w:tc>
      </w:tr>
    </w:tbl>
    <w:p>
      <w:pPr>
        <w:pStyle w:val="Heading1"/>
      </w:pPr>
      <w:r>
        <w:t>4. Kiến nghị TGĐ hỗ trợ</w:t>
      </w:r>
    </w:p>
    <w:p>
      <w:pPr>
        <w:pStyle w:val="ListNumber"/>
      </w:pPr>
      <w:r>
        <w:t>Chỉ đạo mỗi phòng ban cử 01 người đầu mối gửi dữ liệu trước ngày 02/11/2026.</w:t>
      </w:r>
    </w:p>
    <w:p>
      <w:pPr>
        <w:pStyle w:val="ListNumber"/>
      </w:pPr>
      <w:r>
        <w:t>Duyệt chi phí máy chủ nội bộ và chi phí sử dụng AI hằng tháng (bảng chi phí chi tiết sẽ trình riêng).</w:t>
      </w:r>
    </w:p>
    <w:p>
      <w:pPr>
        <w:pStyle w:val="Heading1"/>
      </w:pPr>
      <w:r>
        <w:t>5. Bảo mật</w:t>
      </w:r>
    </w:p>
    <w:p>
      <w:pPr>
        <w:pStyle w:val="ListBullet"/>
      </w:pPr>
      <w:r>
        <w:rPr>
          <w:i w:val="0"/>
        </w:rPr>
        <w:t>Dữ liệu lưu trên máy chủ nội bộ của công ty, có sao lưu định kỳ.</w:t>
      </w:r>
    </w:p>
    <w:p>
      <w:pPr>
        <w:pStyle w:val="ListBullet"/>
      </w:pPr>
      <w:r>
        <w:rPr>
          <w:i w:val="0"/>
        </w:rPr>
        <w:t>Phân quyền theo vai trò; trợ lý AI chỉ cấp cho Ban TGĐ và quản trị viên.</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