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0"/>
      </w:pPr>
      <w:r>
        <w:rPr>
          <w:rFonts w:ascii="Calibri" w:hAnsi="Calibri" w:eastAsia="Calibri"/>
          <w:b/>
          <w:color w:val="B07A00"/>
          <w:sz w:val="20"/>
        </w:rPr>
        <w:t>BẢNG GIẢI MÃ GIAO THỨC</w:t>
      </w:r>
    </w:p>
    <w:p>
      <w:pPr>
        <w:keepNext/>
        <w:spacing w:before="40" w:after="160"/>
      </w:pPr>
      <w:r>
        <w:rPr>
          <w:rFonts w:ascii="Calibri" w:hAnsi="Calibri" w:eastAsia="Calibri"/>
          <w:b/>
          <w:color w:val="17365D"/>
          <w:sz w:val="58"/>
        </w:rPr>
        <w:t>Màn hình máy lọc nước</w:t>
      </w:r>
    </w:p>
    <w:p>
      <w:pPr>
        <w:spacing w:after="360"/>
      </w:pPr>
      <w:r>
        <w:rPr>
          <w:rFonts w:ascii="Calibri" w:hAnsi="Calibri" w:eastAsia="Calibri"/>
          <w:color w:val="667085"/>
          <w:sz w:val="26"/>
        </w:rPr>
        <w:t>Tài liệu kỹ thuật để Quý Đối tác tích hợp trên ESP32, MCU, gateway hoặc hệ thống khác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70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Thông tin bàn giao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9"/>
              </w:rPr>
              <w:t>Phạm vi bàn giao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9"/>
              </w:rPr>
              <w:t>UART từ bo chính tới màn hình; frame AA loại 0x16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9"/>
              </w:rPr>
              <w:t>Mức xác nhận</w:t>
            </w:r>
          </w:p>
        </w:tc>
        <w:tc>
          <w:tcPr>
            <w:tcW w:type="dxa" w:w="7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9"/>
              </w:rPr>
              <w:t>TDS, PPC, RO, CTO và CRC đã kiểm chứng; các byte khác được đánh dấu chưa xác nhận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9"/>
              </w:rPr>
              <w:t>Thiết bị khảo sát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9"/>
              </w:rPr>
              <w:t>QY-KRL5018-P V2.0 (2020-05-28), ký hiệu QY-04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9"/>
              </w:rPr>
              <w:t>Phiên bản</w:t>
            </w:r>
          </w:p>
        </w:tc>
        <w:tc>
          <w:tcPr>
            <w:tcW w:type="dxa" w:w="7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9"/>
              </w:rPr>
              <w:t>1.0 — phát hành ngày 12/08/2026</w:t>
            </w:r>
          </w:p>
        </w:tc>
      </w:tr>
    </w:tbl>
    <w:p>
      <w:pPr>
        <w:spacing w:before="0" w:after="60"/>
      </w:pPr>
    </w:p>
    <w:p>
      <w:pPr>
        <w:spacing w:before="80" w:after="200" w:line="276" w:lineRule="auto"/>
        <w:ind w:left="173" w:right="115"/>
        <w:pBdr>
          <w:left w:val="single" w:sz="10" w:space="7" w:color="2E74B5"/>
        </w:pBdr>
      </w:pPr>
      <w:r>
        <w:rPr>
          <w:rFonts w:ascii="Calibri" w:hAnsi="Calibri" w:eastAsia="Calibri"/>
          <w:b/>
          <w:color w:val="2E74B5"/>
          <w:sz w:val="20"/>
        </w:rPr>
        <w:t xml:space="preserve">KẾT QUẢ BÀN GIAO  </w:t>
      </w:r>
      <w:r>
        <w:rPr>
          <w:rFonts w:ascii="Calibri" w:hAnsi="Calibri" w:eastAsia="Calibri"/>
          <w:color w:val="172B3A"/>
          <w:sz w:val="20"/>
        </w:rPr>
        <w:t>Chỉ nhận frame có sync 0xAA, length hợp lệ và CRC16 Modbus đúng. Với type 0x16, đọc TDS tại offset 14–15; PPC/RO/CTO lần lượt tại offset 8/9/10.</w:t>
      </w:r>
    </w:p>
    <w:p>
      <w:pPr>
        <w:pStyle w:val="Heading1"/>
        <w:keepNext/>
      </w:pPr>
      <w:r>
        <w:t>1. Lớp vật lý và điều kiện thu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25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Giá trị đã xác nhận</w:t>
            </w:r>
          </w:p>
        </w:tc>
        <w:tc>
          <w:tcPr>
            <w:tcW w:type="dxa" w:w="50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Ghi chú tích hợp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Chuẩn tín hiệu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UART TTL, idle HIGH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Không đảo tín hiệu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Tốc độ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9600 baud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Thời gian 1 bit xấp xỉ 104,17 µs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Định dạng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8N1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8 data bits, no parity, 1 stop bit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Mức logic DATA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Khoảng 3,3 V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Không đưa 5 V trực tiếp vào GPIO 3,3 V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Đấu nối mẫu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RX GPIO27 qua 1 kΩ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ESP32 và bo chính phải chung GND</w:t>
            </w:r>
          </w:p>
        </w:tc>
      </w:tr>
    </w:tbl>
    <w:p>
      <w:pPr>
        <w:spacing w:before="0" w:after="60"/>
      </w:pPr>
    </w:p>
    <w:p>
      <w:pPr>
        <w:spacing w:before="80" w:after="200" w:line="276" w:lineRule="auto"/>
        <w:ind w:left="173" w:right="115"/>
        <w:pBdr>
          <w:left w:val="single" w:sz="10" w:space="7" w:color="9B1C1C"/>
        </w:pBdr>
      </w:pPr>
      <w:r>
        <w:rPr>
          <w:rFonts w:ascii="Calibri" w:hAnsi="Calibri" w:eastAsia="Calibri"/>
          <w:b/>
          <w:color w:val="9B1C1C"/>
          <w:sz w:val="20"/>
        </w:rPr>
        <w:t xml:space="preserve">AN TOÀN  </w:t>
      </w:r>
      <w:r>
        <w:rPr>
          <w:rFonts w:ascii="Calibri" w:hAnsi="Calibri" w:eastAsia="Calibri"/>
          <w:color w:val="172B3A"/>
          <w:sz w:val="20"/>
        </w:rPr>
        <w:t>Giữ nguồn 5 V của máy lọc tách khỏi chân 3V3/GPIO. Nếu đặt proxy inline, phải tách đường DATA trực tiếp giữa bo chính và màn hình rồi chuyển tiếp toàn bộ traffic, kể cả traffic chưa nhận dạng.</w:t>
      </w:r>
    </w:p>
    <w:p>
      <w:pPr>
        <w:pStyle w:val="Heading1"/>
        <w:keepNext/>
      </w:pPr>
      <w:r>
        <w:t>2. Khung dữ liệu AA</w:t>
      </w:r>
    </w:p>
    <w:p>
      <w:r>
        <w:rPr>
          <w:rFonts w:ascii="Calibri" w:hAnsi="Calibri" w:eastAsia="Calibri"/>
          <w:color w:val="172B3A"/>
          <w:sz w:val="22"/>
        </w:rPr>
        <w:t>Frame được đánh chỉ số từ 0. Byte length là tổng số byte của toàn frame, bao gồm sync, header và hai byte CRC.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00"/>
        <w:gridCol w:w="1300"/>
        <w:gridCol w:w="1700"/>
        <w:gridCol w:w="5060"/>
      </w:tblGrid>
      <w:tr>
        <w:trPr>
          <w:tblHeader w:val="true"/>
        </w:trPr>
        <w:tc>
          <w:tcPr>
            <w:tcW w:type="dxa" w:w="1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Offset</w:t>
            </w:r>
          </w:p>
        </w:tc>
        <w:tc>
          <w:tcPr>
            <w:tcW w:type="dxa" w:w="1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Kích thước</w:t>
            </w:r>
          </w:p>
        </w:tc>
        <w:tc>
          <w:tcPr>
            <w:tcW w:type="dxa" w:w="17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Tên</w:t>
            </w:r>
          </w:p>
        </w:tc>
        <w:tc>
          <w:tcPr>
            <w:tcW w:type="dxa" w:w="50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Cách hiểu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1 byte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SYNC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Cố định 0xAA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1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1 byte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LENGTH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Tổng độ dài frame; triển khai hiện tại chấp nhận 5–128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1 byte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TYPE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Loại packet; 0x16 chứa dữ liệu đã giải mã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3 … length−3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Biến đổi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PAYLOAD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Trường dữ liệu theo từng TYPE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length−2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1 byte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CRC_LO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Byte thấp của CRC16 Modbus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length−1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1 byte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CRC_HI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Byte cao của CRC16 Modbus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2.1. CRC16 Modbus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Tham số</w:t>
            </w:r>
          </w:p>
        </w:tc>
        <w:tc>
          <w:tcPr>
            <w:tcW w:type="dxa" w:w="68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Giá trị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Khởi tạo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0xFFFF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Đa thức phản xạ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0xA001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Phạm vi tính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frame[0 … length−3], không gồm 2 byte CRC cuối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Thứ tự truyền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Little-endian: CRC_LO trước, CRC_HI sau</w:t>
            </w:r>
          </w:p>
        </w:tc>
      </w:tr>
    </w:tbl>
    <w:p>
      <w:pPr>
        <w:spacing w:before="0" w:after="60"/>
      </w:pPr>
    </w:p>
    <w:p>
      <w:pPr>
        <w:spacing w:before="60" w:after="200" w:line="240" w:lineRule="auto"/>
        <w:ind w:left="230" w:right="115"/>
        <w:shd w:fill="F2F4F7"/>
      </w:pPr>
      <w:r>
        <w:rPr>
          <w:rFonts w:ascii="Courier New" w:hAnsi="Courier New" w:eastAsia="Courier New"/>
          <w:color w:val="263238"/>
          <w:sz w:val="16"/>
        </w:rPr>
        <w:t>uint16_t crc16_modbus(const uint8_t *p, size_t n) {</w:t>
      </w:r>
      <w:r>
        <w:br/>
      </w:r>
      <w:r>
        <w:rPr>
          <w:rFonts w:ascii="Courier New" w:hAnsi="Courier New" w:eastAsia="Courier New"/>
          <w:color w:val="263238"/>
          <w:sz w:val="16"/>
        </w:rPr>
        <w:t xml:space="preserve">    uint16_t crc = 0xFFFF;</w:t>
      </w:r>
      <w:r>
        <w:br/>
      </w:r>
      <w:r>
        <w:rPr>
          <w:rFonts w:ascii="Courier New" w:hAnsi="Courier New" w:eastAsia="Courier New"/>
          <w:color w:val="263238"/>
          <w:sz w:val="16"/>
        </w:rPr>
        <w:t xml:space="preserve">    while (n--) {</w:t>
      </w:r>
      <w:r>
        <w:br/>
      </w:r>
      <w:r>
        <w:rPr>
          <w:rFonts w:ascii="Courier New" w:hAnsi="Courier New" w:eastAsia="Courier New"/>
          <w:color w:val="263238"/>
          <w:sz w:val="16"/>
        </w:rPr>
        <w:t xml:space="preserve">        crc ^= *p++;</w:t>
      </w:r>
      <w:r>
        <w:br/>
      </w:r>
      <w:r>
        <w:rPr>
          <w:rFonts w:ascii="Courier New" w:hAnsi="Courier New" w:eastAsia="Courier New"/>
          <w:color w:val="263238"/>
          <w:sz w:val="16"/>
        </w:rPr>
        <w:t xml:space="preserve">        for (unsigned i = 0; i &lt; 8; ++i)</w:t>
      </w:r>
      <w:r>
        <w:br/>
      </w:r>
      <w:r>
        <w:rPr>
          <w:rFonts w:ascii="Courier New" w:hAnsi="Courier New" w:eastAsia="Courier New"/>
          <w:color w:val="263238"/>
          <w:sz w:val="16"/>
        </w:rPr>
        <w:t xml:space="preserve">            crc = (crc &amp; 1) ? (crc &gt;&gt; 1) ^ 0xA001 : crc &gt;&gt; 1;</w:t>
      </w:r>
      <w:r>
        <w:br/>
      </w:r>
      <w:r>
        <w:rPr>
          <w:rFonts w:ascii="Courier New" w:hAnsi="Courier New" w:eastAsia="Courier New"/>
          <w:color w:val="263238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color w:val="263238"/>
          <w:sz w:val="16"/>
        </w:rPr>
        <w:t xml:space="preserve">    return crc;</w:t>
      </w:r>
      <w:r>
        <w:br/>
      </w:r>
      <w:r>
        <w:rPr>
          <w:rFonts w:ascii="Courier New" w:hAnsi="Courier New" w:eastAsia="Courier New"/>
          <w:color w:val="263238"/>
          <w:sz w:val="16"/>
        </w:rPr>
        <w:t>}</w:t>
      </w:r>
    </w:p>
    <w:p>
      <w:pPr>
        <w:pStyle w:val="Heading1"/>
        <w:keepNext/>
      </w:pPr>
      <w:r>
        <w:t>3. Bảng giải mã packet type 0x16</w:t>
      </w:r>
    </w:p>
    <w:p>
      <w:r>
        <w:rPr>
          <w:rFonts w:ascii="Calibri" w:hAnsi="Calibri" w:eastAsia="Calibri"/>
          <w:color w:val="172B3A"/>
          <w:sz w:val="22"/>
        </w:rPr>
        <w:t>Packet đã xác nhận có length = 30 byte. Chỉ giải mã các offset được xác nhận trong bảng; giữ nguyên các byte còn lại khi triển khai proxy.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800"/>
        <w:gridCol w:w="1050"/>
        <w:gridCol w:w="1750"/>
        <w:gridCol w:w="2100"/>
        <w:gridCol w:w="3660"/>
      </w:tblGrid>
      <w:tr>
        <w:trPr>
          <w:tblHeader w:val="true"/>
        </w:trPr>
        <w:tc>
          <w:tcPr>
            <w:tcW w:type="dxa" w:w="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Offset</w:t>
            </w:r>
          </w:p>
        </w:tc>
        <w:tc>
          <w:tcPr>
            <w:tcW w:type="dxa" w:w="10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Bytes</w:t>
            </w:r>
          </w:p>
        </w:tc>
        <w:tc>
          <w:tcPr>
            <w:tcW w:type="dxa" w:w="17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21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Kiểu / công thức</w:t>
            </w:r>
          </w:p>
        </w:tc>
        <w:tc>
          <w:tcPr>
            <w:tcW w:type="dxa" w:w="36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Mức xác nhận &amp; ý nghĩa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AA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SYNC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Đã xác nhận — byte đồng bộ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</w:t>
            </w:r>
          </w:p>
        </w:tc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1E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LENGTH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uint8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Đã xác nhận — 0x1E = 30 byte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TYPE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Đã xác nhận — loại dữ liệu hiển thị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3</w:t>
            </w:r>
          </w:p>
        </w:tc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thường 65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UNKNOWN_03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uint8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Chưa xác nhận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A0/E0…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STATUS_RAW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Có biến đổi; ý nghĩa bit chưa xác nhận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5–7</w:t>
            </w:r>
          </w:p>
        </w:tc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—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UNKNOWN_05_07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3 × uint8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Chưa xác nhận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00–64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PPC_RAW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Đã kiểm chứng nhân quả — mức lõi PPC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9</w:t>
            </w:r>
          </w:p>
        </w:tc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00–64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RO_RAW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uint8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Đã kiểm chứng nhân quả — mức lõi RO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00–64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CTO_RAW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Đã kiểm chứng nhân quả — mức lõi CTO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11–13</w:t>
            </w:r>
          </w:p>
        </w:tc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—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UNKNOWN_11_13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3 × uint8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Chưa xác nhận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14–15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LE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TDS_1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uint16 little-endian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Đã xác nhận — giá trị TDS hiển thị, đơn vị ppm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16–17</w:t>
            </w:r>
          </w:p>
        </w:tc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LE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TDS_2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uint16 little-endian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Giá trị luôn bằng TDS_1 trong mẫu; vai trò chính xác chưa xác nhận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18–27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—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UNKNOWN_18_27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10 × uint8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Chưa xác nhận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28–29</w:t>
            </w:r>
          </w:p>
        </w:tc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LE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CRC16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uint16 little-endian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7"/>
              </w:rPr>
              <w:t>Đã xác nhận — CRC16 Modbus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3.1. Công thức đọc trường</w:t>
      </w:r>
    </w:p>
    <w:p>
      <w:pPr>
        <w:spacing w:before="60" w:after="200" w:line="240" w:lineRule="auto"/>
        <w:ind w:left="230" w:right="115"/>
        <w:shd w:fill="F2F4F7"/>
      </w:pPr>
      <w:r>
        <w:rPr>
          <w:rFonts w:ascii="Courier New" w:hAnsi="Courier New" w:eastAsia="Courier New"/>
          <w:color w:val="263238"/>
          <w:sz w:val="16"/>
        </w:rPr>
        <w:t>tds_1 = frame[14] | (frame[15] &lt;&lt; 8);</w:t>
      </w:r>
      <w:r>
        <w:br/>
      </w:r>
      <w:r>
        <w:rPr>
          <w:rFonts w:ascii="Courier New" w:hAnsi="Courier New" w:eastAsia="Courier New"/>
          <w:color w:val="263238"/>
          <w:sz w:val="16"/>
        </w:rPr>
        <w:t>tds_2 = frame[16] | (frame[17] &lt;&lt; 8);</w:t>
      </w:r>
      <w:r>
        <w:br/>
      </w:r>
      <w:r>
        <w:rPr>
          <w:rFonts w:ascii="Courier New" w:hAnsi="Courier New" w:eastAsia="Courier New"/>
          <w:color w:val="263238"/>
          <w:sz w:val="16"/>
        </w:rPr>
        <w:t>ppc_raw = frame[8];</w:t>
      </w:r>
      <w:r>
        <w:br/>
      </w:r>
      <w:r>
        <w:rPr>
          <w:rFonts w:ascii="Courier New" w:hAnsi="Courier New" w:eastAsia="Courier New"/>
          <w:color w:val="263238"/>
          <w:sz w:val="16"/>
        </w:rPr>
        <w:t>ro_raw  = frame[9];</w:t>
      </w:r>
      <w:r>
        <w:br/>
      </w:r>
      <w:r>
        <w:rPr>
          <w:rFonts w:ascii="Courier New" w:hAnsi="Courier New" w:eastAsia="Courier New"/>
          <w:color w:val="263238"/>
          <w:sz w:val="16"/>
        </w:rPr>
        <w:t>cto_raw = frame[10];</w:t>
      </w:r>
    </w:p>
    <w:p>
      <w:pPr>
        <w:spacing w:before="80" w:after="200" w:line="276" w:lineRule="auto"/>
        <w:ind w:left="173" w:right="115"/>
        <w:pBdr>
          <w:left w:val="single" w:sz="10" w:space="7" w:color="B07A00"/>
        </w:pBdr>
      </w:pPr>
      <w:r>
        <w:rPr>
          <w:rFonts w:ascii="Calibri" w:hAnsi="Calibri" w:eastAsia="Calibri"/>
          <w:b/>
          <w:color w:val="B07A00"/>
          <w:sz w:val="20"/>
        </w:rPr>
        <w:t xml:space="preserve">QUY TẮC XỬ LÝ  </w:t>
      </w:r>
      <w:r>
        <w:rPr>
          <w:rFonts w:ascii="Calibri" w:hAnsi="Calibri" w:eastAsia="Calibri"/>
          <w:color w:val="172B3A"/>
          <w:sz w:val="20"/>
        </w:rPr>
        <w:t>Không suy diễn STATUS_RAW tại offset 4 là chữ số hàng trăm của TDS. Đã quan sát cùng TDS = 100 nhưng status có thể là 0xA0 hoặc 0xE0.</w:t>
      </w:r>
    </w:p>
    <w:p>
      <w:pPr>
        <w:pStyle w:val="Heading1"/>
        <w:keepNext/>
      </w:pPr>
      <w:r>
        <w:t>4. Bảng quy đổi PPC / RO / CTO</w:t>
      </w:r>
    </w:p>
    <w:p>
      <w:r>
        <w:rPr>
          <w:rFonts w:ascii="Calibri" w:hAnsi="Calibri" w:eastAsia="Calibri"/>
          <w:color w:val="172B3A"/>
          <w:sz w:val="22"/>
        </w:rPr>
        <w:t>Ba trường dùng cùng một bảng ngưỡng. Mọi cặp biên 2/3, 24/25, 49/50 và 74/75 đã được phát thử và quan sát trực tiếp trên màn hình.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00"/>
        <w:gridCol w:w="1300"/>
        <w:gridCol w:w="1300"/>
        <w:gridCol w:w="1600"/>
        <w:gridCol w:w="3860"/>
      </w:tblGrid>
      <w:tr>
        <w:trPr>
          <w:tblHeader w:val="true"/>
        </w:trPr>
        <w:tc>
          <w:tcPr>
            <w:tcW w:type="dxa" w:w="1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Raw</w:t>
            </w:r>
          </w:p>
        </w:tc>
        <w:tc>
          <w:tcPr>
            <w:tcW w:type="dxa" w:w="1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Số vạch</w:t>
            </w:r>
          </w:p>
        </w:tc>
        <w:tc>
          <w:tcPr>
            <w:tcW w:type="dxa" w:w="1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Màu</w:t>
            </w:r>
          </w:p>
        </w:tc>
        <w:tc>
          <w:tcPr>
            <w:tcW w:type="dxa" w:w="16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Nhấp nháy</w:t>
            </w:r>
          </w:p>
        </w:tc>
        <w:tc>
          <w:tcPr>
            <w:tcW w:type="dxa" w:w="38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Trạng thái gợi ý cho ứng dụng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0–2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1 / 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Đỏ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Có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Cần thay lõi ngay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3–24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1 / 4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Xanh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Không</w:t>
            </w:r>
          </w:p>
        </w:tc>
        <w:tc>
          <w:tcPr>
            <w:tcW w:type="dxa" w:w="3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Mức thấp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25–49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2 / 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Xanh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Không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Cần theo dõi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50–74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3 / 4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Xanh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Không</w:t>
            </w:r>
          </w:p>
        </w:tc>
        <w:tc>
          <w:tcPr>
            <w:tcW w:type="dxa" w:w="3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Khá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75–100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4 / 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Xanh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Không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Tốt</w:t>
            </w:r>
          </w:p>
        </w:tc>
      </w:tr>
    </w:tbl>
    <w:p>
      <w:pPr>
        <w:spacing w:before="0" w:after="60"/>
      </w:pPr>
    </w:p>
    <w:p>
      <w:pPr>
        <w:spacing w:before="80" w:after="200" w:line="276" w:lineRule="auto"/>
        <w:ind w:left="173" w:right="115"/>
        <w:pBdr>
          <w:left w:val="single" w:sz="10" w:space="7" w:color="2E74B5"/>
        </w:pBdr>
      </w:pPr>
      <w:r>
        <w:rPr>
          <w:rFonts w:ascii="Calibri" w:hAnsi="Calibri" w:eastAsia="Calibri"/>
          <w:b/>
          <w:color w:val="2E74B5"/>
          <w:sz w:val="20"/>
        </w:rPr>
        <w:t xml:space="preserve">TÊN TRƯỜNG API  </w:t>
      </w:r>
      <w:r>
        <w:rPr>
          <w:rFonts w:ascii="Calibri" w:hAnsi="Calibri" w:eastAsia="Calibri"/>
          <w:color w:val="172B3A"/>
          <w:sz w:val="20"/>
        </w:rPr>
        <w:t>Sử dụng ppc_raw / ro_raw / cto_raw tại lớp tích hợp. Trong phạm vi 0–100, ứng dụng có thể hiển thị trực tiếp theo phần trăm còn lại.</w:t>
      </w:r>
    </w:p>
    <w:p>
      <w:pPr>
        <w:pStyle w:val="Heading1"/>
        <w:keepNext/>
      </w:pPr>
      <w:r>
        <w:t>5. Trình tự parser khuyến nghị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0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Xử lý bắt buộc</w:t>
            </w:r>
          </w:p>
        </w:tc>
        <w:tc>
          <w:tcPr>
            <w:tcW w:type="dxa" w:w="54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Điều kiện / kết quả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Tìm sync 0xAA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Bỏ các byte trước sync; traffic FE FC hiện chưa có framing đã xác nhận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2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Đọc LENGTH</w:t>
            </w:r>
          </w:p>
        </w:tc>
        <w:tc>
          <w:tcPr>
            <w:tcW w:type="dxa" w:w="5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Chấp nhận 5–128; nếu sai thì tìm lại sync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Chờ đủ frame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Không giả định mỗi lần đọc UART là đúng một packet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4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Kiểm tra CRC</w:t>
            </w:r>
          </w:p>
        </w:tc>
        <w:tc>
          <w:tcPr>
            <w:tcW w:type="dxa" w:w="5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So sánh CRC nhận (little-endian) với CRC tính trên length−2 byte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Dispatch theo TYPE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Chỉ decode bảng trong tài liệu này khi TYPE = 0x16 và length ≥ 18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6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Xuất dữ liệu</w:t>
            </w:r>
          </w:p>
        </w:tc>
        <w:tc>
          <w:tcPr>
            <w:tcW w:type="dxa" w:w="5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TDS uint16; ba raw uint8; trạng thái vạch theo bảng ngưỡng</w:t>
            </w:r>
          </w:p>
        </w:tc>
      </w:tr>
    </w:tbl>
    <w:p>
      <w:pPr>
        <w:spacing w:before="0" w:after="60"/>
      </w:pPr>
    </w:p>
    <w:p>
      <w:r>
        <w:rPr>
          <w:rFonts w:ascii="Calibri" w:hAnsi="Calibri" w:eastAsia="Calibri"/>
          <w:color w:val="172B3A"/>
          <w:sz w:val="22"/>
        </w:rPr>
        <w:t>Nếu frame CRC sai, không xuất dữ liệu cho ứng dụng. Khi đường UART có khoảng ngắt trong lúc frame còn dở, bỏ frame dở và quay lại tìm 0xAA.</w:t>
      </w:r>
    </w:p>
    <w:p>
      <w:pPr>
        <w:pStyle w:val="Heading1"/>
        <w:keepNext/>
      </w:pPr>
      <w:r>
        <w:t>6. Test vector bàn giao</w:t>
      </w:r>
    </w:p>
    <w:p>
      <w:pPr>
        <w:pStyle w:val="Heading2"/>
        <w:keepNext/>
      </w:pPr>
      <w:r>
        <w:t>6.1. Mẫu TDS = 1</w:t>
      </w:r>
    </w:p>
    <w:p>
      <w:pPr>
        <w:spacing w:before="60" w:after="200" w:line="240" w:lineRule="auto"/>
        <w:ind w:left="230" w:right="115"/>
        <w:shd w:fill="F2F4F7"/>
      </w:pPr>
      <w:r>
        <w:rPr>
          <w:rFonts w:ascii="Courier New" w:hAnsi="Courier New" w:eastAsia="Courier New"/>
          <w:color w:val="263238"/>
          <w:sz w:val="16"/>
        </w:rPr>
        <w:t>AA 1E 16 65 A0 00 00 00 62 64 63 00 00 00</w:t>
      </w:r>
      <w:r>
        <w:br/>
      </w:r>
      <w:r>
        <w:rPr>
          <w:rFonts w:ascii="Courier New" w:hAnsi="Courier New" w:eastAsia="Courier New"/>
          <w:color w:val="263238"/>
          <w:sz w:val="16"/>
        </w:rPr>
        <w:t>01 00 01 00 00 00 00 80 00 00 00 00 00 00 17 A6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Kỳ vọng</w:t>
            </w:r>
          </w:p>
        </w:tc>
        <w:tc>
          <w:tcPr>
            <w:tcW w:type="dxa" w:w="60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Giá trị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CRC nhận / CRC tính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0xA617 / 0xA617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TDS_1 / TDS_2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1 / 1 ppm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PPC / RO / CTO raw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98 / 100 / 99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Hiển thị ba lõi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4 vạch xanh, không nhấp nháy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6.2. Mẫu TDS = 100</w:t>
      </w:r>
    </w:p>
    <w:p>
      <w:pPr>
        <w:spacing w:before="60" w:after="200" w:line="240" w:lineRule="auto"/>
        <w:ind w:left="230" w:right="115"/>
        <w:shd w:fill="F2F4F7"/>
      </w:pPr>
      <w:r>
        <w:rPr>
          <w:rFonts w:ascii="Courier New" w:hAnsi="Courier New" w:eastAsia="Courier New"/>
          <w:color w:val="263238"/>
          <w:sz w:val="16"/>
        </w:rPr>
        <w:t>AA 1E 16 65 E0 00 00 00 62 64 63 00 00 00</w:t>
      </w:r>
      <w:r>
        <w:br/>
      </w:r>
      <w:r>
        <w:rPr>
          <w:rFonts w:ascii="Courier New" w:hAnsi="Courier New" w:eastAsia="Courier New"/>
          <w:color w:val="263238"/>
          <w:sz w:val="16"/>
        </w:rPr>
        <w:t>64 00 64 00 00 00 00 80 00 00 00 00 00 00 CC 98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Kỳ vọng</w:t>
            </w:r>
          </w:p>
        </w:tc>
        <w:tc>
          <w:tcPr>
            <w:tcW w:type="dxa" w:w="60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Giá trị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CRC nhận / CRC tính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0x98CC / 0x98CC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TDS_1 / TDS_2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100 / 100 ppm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PPC / RO / CTO raw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98 / 100 / 99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Hiển thị ba lõi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4 vạch xanh, không nhấp nháy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6.3. Giá trị TDS vượt 8 bit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TDS thập phân</w:t>
            </w:r>
          </w:p>
        </w:tc>
        <w:tc>
          <w:tcPr>
            <w:tcW w:type="dxa" w:w="30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Bytes little-endian</w:t>
            </w:r>
          </w:p>
        </w:tc>
        <w:tc>
          <w:tcPr>
            <w:tcW w:type="dxa" w:w="40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Kết quả decoder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255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FF 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255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256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00 01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256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999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E7 03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B3A"/>
                <w:sz w:val="18"/>
              </w:rPr>
              <w:t>999</w:t>
            </w:r>
          </w:p>
        </w:tc>
      </w:tr>
    </w:tbl>
    <w:p>
      <w:pPr>
        <w:spacing w:before="0" w:after="60"/>
      </w:pPr>
    </w:p>
    <w:p>
      <w:r>
        <w:rPr>
          <w:rFonts w:ascii="Calibri" w:hAnsi="Calibri" w:eastAsia="Calibri"/>
          <w:color w:val="172B3A"/>
          <w:sz w:val="22"/>
        </w:rPr>
        <w:t>Dải uint16 chứng minh decoder phải đọc 16 bit. Điều này không tự động chứng minh mọi firmware/màn hình hỗ trợ toàn dải 0–65535; màn hình khảo sát có ba chữ số.</w:t>
      </w:r>
    </w:p>
    <w:p>
      <w:pPr>
        <w:pStyle w:val="Heading1"/>
        <w:keepNext/>
      </w:pPr>
      <w:r>
        <w:t>7. Dữ liệu chưa giải mã và quy tắc tương thích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27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Yêu cầu khi tích hợp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STATUS_RAW offset 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Chưa biết ý nghĩa bit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Lưu raw nếu cần chẩn đoán; không dùng làm TDS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TDS_2 offset 16–17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Luôn trùng TDS_1 trong mẫu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Có thể xuất riêng; không đặt tên là cảm biến thứ hai khi chưa xác nhận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Type 0x12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Có CRC hợp lệ nhưng chưa giải mã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Không gán offset 5/6/12/13 cho PPC/RO/CTO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Traffic FE FC 26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Frame/CRC chưa xác nhận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Chuyển tiếp nguyên trạng nếu làm proxy; không dùng cho ba lõi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Model bo khác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Có thể khác firmware/pinout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Kiểm tra lại CRC, length và test vector trước khi triển khai đại trà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Raw ngoài 0–100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Chưa có kiểm chứng hiển thị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Giữ giá trị gốc và gắn cờ ngoài phạm vi; không tự clamp ở lớp parser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  <w:keepNext/>
      </w:pPr>
      <w:r>
        <w:t>8. Tiêu chí nghiệm thu tích hợp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6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Kiểm tra</w:t>
            </w:r>
          </w:p>
        </w:tc>
        <w:tc>
          <w:tcPr>
            <w:tcW w:type="dxa" w:w="46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Đạt khi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AC-01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Nhận từng byte hoặc frame bị chia chunk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Vẫn ghép đúng một frame và không mất đồng bộ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AC-02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Hai frame dính liền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Xuất đúng hai bản ghi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AC-03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Length sai / CRC sai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Không xuất dữ liệu; parser tự tìm lại 0xAA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AC-04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Hai test vector mục 6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CRC và toàn bộ trường khớp giá trị kỳ vọng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AC-05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Các biên 2/3, 24/25, 49/50, 74/75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Số vạch, màu và nhấp nháy đổi đúng bảng mục 4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AC-06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TDS = 256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Kết quả là 256, không bị đọc thành 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AC-07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Proxy ở chế độ pass-through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B3A"/>
                <w:sz w:val="18"/>
              </w:rPr>
              <w:t>Mọi byte RX được chuyển tiếp; frame chưa biết không bị loại</w:t>
            </w:r>
          </w:p>
        </w:tc>
      </w:tr>
    </w:tbl>
    <w:p>
      <w:pPr>
        <w:spacing w:before="0" w:after="60"/>
      </w:pPr>
    </w:p>
    <w:p>
      <w:pPr>
        <w:spacing w:before="80" w:after="200" w:line="276" w:lineRule="auto"/>
        <w:ind w:left="173" w:right="115"/>
        <w:pBdr>
          <w:left w:val="single" w:sz="10" w:space="7" w:color="B07A00"/>
        </w:pBdr>
      </w:pPr>
      <w:r>
        <w:rPr>
          <w:rFonts w:ascii="Calibri" w:hAnsi="Calibri" w:eastAsia="Calibri"/>
          <w:b/>
          <w:color w:val="B07A00"/>
          <w:sz w:val="20"/>
        </w:rPr>
        <w:t xml:space="preserve">PHẠM VI ÁP DỤNG  </w:t>
      </w:r>
      <w:r>
        <w:rPr>
          <w:rFonts w:ascii="Calibri" w:hAnsi="Calibri" w:eastAsia="Calibri"/>
          <w:color w:val="172B3A"/>
          <w:sz w:val="20"/>
        </w:rPr>
        <w:t>Bảng giải mã đã được xác nhận trên bo QY-KRL5018-P V2.0. Với KRL-2803-P hoặc model khác, Quý Đối tác kiểm tra lại test vector, TDS và ba ngưỡng lõi trước khi triển khai.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667085"/>
        <w:sz w:val="17"/>
      </w:rPr>
      <w:t xml:space="preserve">Phiên bản 1.0  •  12/08/2026  •  Trang </w:t>
    </w:r>
    <w:r>
      <w:rPr>
        <w:rFonts w:ascii="Calibri" w:hAnsi="Calibri" w:eastAsia="Calibri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BE2"/>
      </w:pBdr>
    </w:pPr>
    <w:r>
      <w:rPr>
        <w:rFonts w:ascii="Calibri" w:hAnsi="Calibri" w:eastAsia="Calibri"/>
        <w:b/>
        <w:color w:val="667085"/>
        <w:sz w:val="17"/>
      </w:rPr>
      <w:t>TÀI LIỆU BÀN GIAO KỸ THUẬT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giải mã giao thức máy lọc nước</dc:title>
  <dc:subject>Tài liệu kỹ thuật bàn giao cho đối tác</dc:subject>
  <dc:creator/>
  <cp:keywords>TDS, UART, CRC16 Modbus, PPC, RO, CTO, ESP32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