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b/>
          <w:caps/>
          <w:color w:val="C00000"/>
          <w:sz w:val="48"/>
        </w:rPr>
      </w:pPr>
      <w:r>
        <w:rPr>
          <w:rStyle w:val="24"/>
          <w:rFonts w:eastAsiaTheme="majorEastAsia"/>
        </w:rPr>
        <w:t>Subject: SWD391</w:t>
      </w:r>
    </w:p>
    <w:p w14:paraId="78A449DD">
      <w:pPr>
        <w:jc w:val="center"/>
        <w:rPr>
          <w:b/>
          <w:color w:val="C00000"/>
          <w:sz w:val="32"/>
        </w:rPr>
      </w:pPr>
      <w:r>
        <w:rPr>
          <w:b/>
          <w:color w:val="C00000"/>
          <w:sz w:val="32"/>
        </w:rPr>
        <w:t>Digital Legacy Management &amp; Digital Asset Handover</w:t>
      </w:r>
    </w:p>
    <w:p w14:paraId="6D27BD03">
      <w:pPr>
        <w:pStyle w:val="38"/>
      </w:pPr>
      <w:bookmarkStart w:id="0" w:name="_GoBack"/>
      <w:bookmarkEnd w:id="0"/>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29</w:t>
          </w:r>
        </w:p>
        <w:p>
          <w:pPr>
            <w:pStyle w:val="18"/>
            <w:tabs>
              <w:tab w:val="right" w:leader="dot" w:pos="9350"/>
            </w:tabs>
            <w:spacing w:before="0" w:after="20" w:line="240" w:lineRule="auto"/>
          </w:pPr>
          <w:r>
            <w:rPr>
              <w:sz w:val="22"/>
            </w:rPr>
            <w:t>IV.3.1 Domain Class Diagram</w:t>
          </w:r>
          <w:r>
            <w:rPr>
              <w:sz w:val="22"/>
            </w:rPr>
            <w:tab/>
          </w:r>
          <w:r>
            <w:rPr>
              <w:sz w:val="22"/>
            </w:rPr>
            <w:t>29</w:t>
          </w:r>
        </w:p>
        <w:p>
          <w:pPr>
            <w:pStyle w:val="18"/>
            <w:tabs>
              <w:tab w:val="right" w:leader="dot" w:pos="9350"/>
            </w:tabs>
            <w:spacing w:before="0" w:after="20" w:line="240" w:lineRule="auto"/>
          </w:pPr>
          <w:r>
            <w:rPr>
              <w:sz w:val="22"/>
            </w:rPr>
            <w:t>IV.3.2 Service and Repository Layers</w:t>
          </w:r>
          <w:r>
            <w:rPr>
              <w:sz w:val="22"/>
            </w:rPr>
            <w:tab/>
          </w:r>
          <w:r>
            <w:rPr>
              <w:sz w:val="22"/>
            </w:rPr>
            <w:t>30</w:t>
          </w:r>
        </w:p>
        <w:p w14:paraId="5529B857">
          <w:pPr>
            <w:pStyle w:val="17"/>
            <w:tabs>
              <w:tab w:val="right" w:leader="dot" w:pos="9350"/>
            </w:tabs>
            <w:spacing w:before="0" w:after="20" w:line="240" w:lineRule="auto"/>
          </w:pPr>
          <w:r>
            <w:rPr>
              <w:sz w:val="22"/>
            </w:rPr>
            <w:t>IV.4 Database Design</w:t>
          </w:r>
          <w:r>
            <w:rPr>
              <w:sz w:val="22"/>
            </w:rPr>
            <w:tab/>
          </w:r>
          <w:r>
            <w:rPr>
              <w:sz w:val="22"/>
            </w:rPr>
            <w:t>31</w:t>
          </w:r>
        </w:p>
        <w:p w14:paraId="1129B39F">
          <w:pPr>
            <w:pStyle w:val="18"/>
            <w:tabs>
              <w:tab w:val="right" w:leader="dot" w:pos="9350"/>
            </w:tabs>
            <w:spacing w:before="0" w:after="20" w:line="240" w:lineRule="auto"/>
          </w:pPr>
          <w:r>
            <w:rPr>
              <w:sz w:val="22"/>
            </w:rPr>
            <w:t>IV.4.1 Conceptual Diagram</w:t>
          </w:r>
          <w:r>
            <w:rPr>
              <w:sz w:val="22"/>
            </w:rPr>
            <w:tab/>
          </w:r>
          <w:r>
            <w:rPr>
              <w:sz w:val="22"/>
            </w:rPr>
            <w:t>31</w:t>
          </w:r>
        </w:p>
        <w:p w14:paraId="311C0946">
          <w:pPr>
            <w:pStyle w:val="18"/>
            <w:tabs>
              <w:tab w:val="right" w:leader="dot" w:pos="9350"/>
            </w:tabs>
            <w:spacing w:before="0" w:after="20" w:line="240" w:lineRule="auto"/>
          </w:pPr>
          <w:r>
            <w:rPr>
              <w:sz w:val="22"/>
            </w:rPr>
            <w:t>IV.4.2 Logical Diagram</w:t>
          </w:r>
          <w:r>
            <w:rPr>
              <w:sz w:val="22"/>
            </w:rPr>
            <w:tab/>
          </w:r>
          <w:r>
            <w:rPr>
              <w:sz w:val="22"/>
            </w:rPr>
            <w:t>32</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2468965A">
      <w:pPr>
        <w:pStyle w:val="27"/>
        <w:numPr>
          <w:ilvl w:val="0"/>
          <w:numId w:val="1"/>
        </w:numPr>
        <w:ind w:left="706" w:hanging="360"/>
        <w:jc w:val="both"/>
      </w:pPr>
      <w:r>
        <w:rPr>
          <w:b/>
        </w:rPr>
        <w:t xml:space="preserve">Project name: </w:t>
      </w:r>
      <w:r>
        <w:t>LegacyVault – Digital Legacy Management &amp; Digital Asset Handover</w:t>
      </w:r>
    </w:p>
    <w:p w14:paraId="44339E67">
      <w:pPr>
        <w:pStyle w:val="27"/>
        <w:numPr>
          <w:ilvl w:val="0"/>
          <w:numId w:val="1"/>
        </w:numPr>
        <w:ind w:left="706" w:hanging="360"/>
        <w:jc w:val="both"/>
      </w:pPr>
      <w:r>
        <w:rPr>
          <w:b/>
        </w:rPr>
        <w:t xml:space="preserve">Project code: </w:t>
      </w:r>
      <w:r>
        <w:rPr>
          <w:highlight w:val="yellow"/>
        </w:rPr>
        <w:t>[to be confirmed]</w:t>
      </w:r>
    </w:p>
    <w:p w14:paraId="06D12531">
      <w:pPr>
        <w:pStyle w:val="27"/>
        <w:numPr>
          <w:ilvl w:val="0"/>
          <w:numId w:val="1"/>
        </w:numPr>
        <w:ind w:left="706" w:hanging="360"/>
        <w:jc w:val="both"/>
      </w:pPr>
      <w:r>
        <w:rPr>
          <w:b/>
        </w:rPr>
        <w:t xml:space="preserve">Group name: </w:t>
      </w:r>
      <w:r>
        <w:rPr>
          <w:highlight w:val="yellow"/>
        </w:rPr>
        <w:t>[to be confirmed]</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Access Inherited Assets includes Verify Identity (OTP / eKYC); Review Verification Request includes Verify Digital Signature; Reject and Request Additional Documents extends Review Verification Request when the request is rejected (the executor then provides the additional documents); e-Sign Vault Unlock Authorization extends Review Verification Request when the request is approved.</w:t>
      </w:r>
    </w:p>
    <w:p w14:paraId="74484C0F">
      <w:pPr>
        <w:keepNext/>
        <w:jc w:val="center"/>
      </w:pPr>
      <w:r>
        <w:drawing>
          <wp:inline distT="0" distB="0" distL="114300" distR="114300">
            <wp:extent cx="5668645" cy="4034226"/>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8645" cy="4034226"/>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24 entities and 33 relationships. User is the central entity and has one optional profile for each role (VaultOwner, DigitalExecutor, Beneficiary, LegalVerifier and SystemAdministrator); each relationship is drawn with its cardinality (exactly one, zero or one, zero or many, one or many).</w:t>
      </w:r>
    </w:p>
    <w:p w14:paraId="496AB790">
      <w:pPr>
        <w:keepNext/>
        <w:jc w:val="center"/>
      </w:pPr>
      <w:r>
        <w:drawing>
          <wp:inline distT="0" distB="0" distL="114300" distR="114300">
            <wp:extent cx="7028159" cy="49500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4751772" cy="49000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1772" cy="490000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Messages are numbered in the order they are sent: the Dead Man's Switch notifies the Digital Executor (1), the executor submits the death certificate to the Legal Verification Request (2), the request is sent to the Legal Verifier (3) who approves and e-signs it (4), the vault is unlocked (5), an assignment is created for each asset (6), the Beneficiary is notified (7) and confirms receipt (8), and the handover progress is sent back to the executor (9).</w:t>
      </w:r>
    </w:p>
    <w:p w14:paraId="331B91CC">
      <w:pPr>
        <w:keepNext/>
        <w:jc w:val="center"/>
      </w:pPr>
      <w:r>
        <w:drawing>
          <wp:inline xmlns:a="http://schemas.openxmlformats.org/drawingml/2006/main" xmlns:pic="http://schemas.openxmlformats.org/drawingml/2006/picture">
            <wp:extent cx="9235440" cy="2516157"/>
            <wp:docPr id="15" name="Picture 15"/>
            <wp:cNvGraphicFramePr>
              <a:graphicFrameLocks noChangeAspect="1"/>
            </wp:cNvGraphicFramePr>
            <a:graphic>
              <a:graphicData uri="http://schemas.openxmlformats.org/drawingml/2006/picture">
                <pic:pic>
                  <pic:nvPicPr>
                    <pic:cNvPr id="0" name="comm.png"/>
                    <pic:cNvPicPr/>
                  </pic:nvPicPr>
                  <pic:blipFill>
                    <a:blip r:embed="rId22"/>
                    <a:stretch>
                      <a:fillRect/>
                    </a:stretch>
                  </pic:blipFill>
                  <pic:spPr>
                    <a:xfrm>
                      <a:off x="0" y="0"/>
                      <a:ext cx="9235440" cy="2516157"/>
                    </a:xfrm>
                    <a:prstGeom prst="rect"/>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3030742"/>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3030742"/>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Portal, used by the Owner, Executor, Beneficiary, Verifier and Admin, calls the LegacyVault System through the ILegacyVaultAPI interface, which is received by the API Gateway (routing, TLS, rate limiting). The gateway delegates to five components: Identity &amp; Access (login, RBAC, sessions), Vault &amp; Asset (assets, documents, encryption), DMS &amp; Handover Orchestrator (check-in, trigger, case orchestration), Legal Verification (requests, document exchange, approval) and Executor &amp; Beneficiary (assignments, delivery, progress). Data is kept in three stores: the LegacyVault DB, an Encrypted Object Storage for documents and payloads, and an Audit Log Store for state and access events. Three external providers are used through interfaces: the eKYC / OTP Service (IIdentityVerification), the Email / SMS / Push Service (INotification) and the Digital Signature / e-Notary Service (IDigitalSignature).</w:t>
      </w:r>
    </w:p>
    <w:p w14:paraId="25F90D61">
      <w:pPr>
        <w:keepNext/>
        <w:jc w:val="center"/>
      </w:pPr>
      <w:r>
        <w:drawing>
          <wp:inline distT="0" distB="0" distL="114300" distR="114300">
            <wp:extent cx="7532630" cy="460000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7532630" cy="4600000"/>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system is divided into 11 packages. Digital Asset Handover and Dead Man's Switch are the top-level packages of the flow: Dead Man's Switch uses Digital Vault Management, Notification Management, System Configuration and Digital Asset Handover; Digital Asset Handover uses Legal Verification, Beneficiary &amp; Executor Management, Encryption &amp; Security, Identity &amp; Access Management, Notification Management and Audit &amp; Monitoring. Legal Verification and Identity &amp; Access Management use the External Integrations package.</w:t>
      </w:r>
    </w:p>
    <w:p w14:paraId="42CEEDE4">
      <w:pPr>
        <w:keepNext/>
        <w:jc w:val="center"/>
      </w:pPr>
      <w:r>
        <w:drawing>
          <wp:inline distT="0" distB="0" distL="114300" distR="114300">
            <wp:extent cx="5212715" cy="512064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13220" cy="5120640"/>
                    </a:xfrm>
                    <a:prstGeom prst="rect">
                      <a:avLst/>
                    </a:prstGeom>
                  </pic:spPr>
                </pic:pic>
              </a:graphicData>
            </a:graphic>
          </wp:inline>
        </w:drawing>
      </w:r>
    </w:p>
    <w:p w14:paraId="7E67C9CC">
      <w:pPr>
        <w:pStyle w:val="10"/>
        <w:jc w:val="center"/>
      </w:pPr>
      <w:r>
        <w:rPr>
          <w:i/>
        </w:rPr>
        <w:t>Figure 10. Package Diagram of LegacyVault</w:t>
      </w:r>
    </w:p>
    <w:p w14:paraId="7634F6FE">
      <w:pPr>
        <w:keepNext/>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14:paraId="138012D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6AF190">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14:paraId="46B27AD6">
            <w:pPr>
              <w:rPr>
                <w:i/>
                <w:iCs/>
                <w:color w:val="0432FF"/>
              </w:rPr>
            </w:pPr>
            <w:r>
              <w:t>Identity &amp; Access Management</w:t>
            </w:r>
          </w:p>
        </w:tc>
        <w:tc>
          <w:tcPr>
            <w:tcW w:w="5400" w:type="dxa"/>
            <w:tcBorders>
              <w:top w:val="single" w:color="000000" w:sz="4" w:space="0"/>
              <w:left w:val="single" w:color="000000" w:sz="4" w:space="0"/>
              <w:bottom w:val="single" w:color="000000" w:sz="4" w:space="0"/>
              <w:right w:val="single" w:color="000000" w:sz="4" w:space="0"/>
            </w:tcBorders>
          </w:tcPr>
          <w:p w14:paraId="73B51BC2">
            <w:pPr>
              <w:rPr>
                <w:i/>
                <w:iCs/>
                <w:color w:val="0432FF"/>
              </w:rPr>
            </w:pPr>
            <w:r>
              <w:t>User, Role &amp; RBAC Management: users, roles, permissions and OTP / eKYC based authentication.</w:t>
            </w:r>
          </w:p>
        </w:tc>
      </w:tr>
      <w:tr w14:paraId="2E478212">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75761F29">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14:paraId="7D05AB8F">
            <w:pPr>
              <w:rPr>
                <w:i/>
                <w:iCs/>
                <w:color w:val="0432FF"/>
              </w:rPr>
            </w:pPr>
            <w:r>
              <w:t>Digital Vault Management</w:t>
            </w:r>
          </w:p>
        </w:tc>
        <w:tc>
          <w:tcPr>
            <w:tcW w:w="5400" w:type="dxa"/>
            <w:tcBorders>
              <w:top w:val="single" w:color="000000" w:sz="4" w:space="0"/>
              <w:left w:val="single" w:color="000000" w:sz="4" w:space="0"/>
              <w:bottom w:val="single" w:color="000000" w:sz="4" w:space="0"/>
              <w:right w:val="single" w:color="000000" w:sz="4" w:space="0"/>
            </w:tcBorders>
          </w:tcPr>
          <w:p w14:paraId="7F4B0D28">
            <w:pPr>
              <w:rPr>
                <w:i/>
                <w:iCs/>
                <w:color w:val="0432FF"/>
              </w:rPr>
            </w:pPr>
            <w:r>
              <w:t>Digital Vault &amp; Asset Management and Document Upload &amp; Management: create vaults, asset profiles and legal documents.</w:t>
            </w:r>
          </w:p>
        </w:tc>
      </w:tr>
      <w:tr w14:paraId="19D0695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884360">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14:paraId="69997E73">
            <w:pPr>
              <w:rPr>
                <w:i/>
                <w:iCs/>
                <w:color w:val="0432FF"/>
              </w:rPr>
            </w:pPr>
            <w:r>
              <w:t>Encryption &amp; Security</w:t>
            </w:r>
          </w:p>
        </w:tc>
        <w:tc>
          <w:tcPr>
            <w:tcW w:w="5400" w:type="dxa"/>
            <w:tcBorders>
              <w:top w:val="single" w:color="000000" w:sz="4" w:space="0"/>
              <w:left w:val="single" w:color="000000" w:sz="4" w:space="0"/>
              <w:bottom w:val="single" w:color="000000" w:sz="4" w:space="0"/>
              <w:right w:val="single" w:color="000000" w:sz="4" w:space="0"/>
            </w:tcBorders>
          </w:tcPr>
          <w:p w14:paraId="055E7226">
            <w:pPr>
              <w:rPr>
                <w:i/>
                <w:iCs/>
                <w:color w:val="0432FF"/>
              </w:rPr>
            </w:pPr>
            <w:r>
              <w:t>Asset Encryption &amp; Decryption and Encryption Policy Management: end-to-end encryption of assets and documents.</w:t>
            </w:r>
          </w:p>
        </w:tc>
      </w:tr>
      <w:tr w14:paraId="19DBCC46">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47E61D5">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14:paraId="3AC11B66">
            <w:pPr>
              <w:rPr>
                <w:i/>
                <w:iCs/>
                <w:color w:val="0432FF"/>
              </w:rPr>
            </w:pPr>
            <w:r>
              <w:t>Beneficiary &amp; Executor Management</w:t>
            </w:r>
          </w:p>
        </w:tc>
        <w:tc>
          <w:tcPr>
            <w:tcW w:w="5400" w:type="dxa"/>
            <w:tcBorders>
              <w:top w:val="single" w:color="000000" w:sz="4" w:space="0"/>
              <w:left w:val="single" w:color="000000" w:sz="4" w:space="0"/>
              <w:bottom w:val="single" w:color="000000" w:sz="4" w:space="0"/>
              <w:right w:val="single" w:color="000000" w:sz="4" w:space="0"/>
            </w:tcBorders>
          </w:tcPr>
          <w:p w14:paraId="638CC229">
            <w:pPr>
              <w:rPr>
                <w:i/>
                <w:iCs/>
                <w:color w:val="0432FF"/>
              </w:rPr>
            </w:pPr>
            <w:r>
              <w:t>Beneficiary Assignment and Executor Authorization &amp; Revocation: who receives each asset and who runs the handover.</w:t>
            </w:r>
          </w:p>
        </w:tc>
      </w:tr>
      <w:tr w14:paraId="0FA285A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11C6087">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14:paraId="5E509BD9">
            <w:pPr>
              <w:rPr>
                <w:i/>
                <w:iCs/>
                <w:color w:val="0432FF"/>
              </w:rPr>
            </w:pPr>
            <w:r>
              <w:t>Dead Man's Switch</w:t>
            </w:r>
          </w:p>
        </w:tc>
        <w:tc>
          <w:tcPr>
            <w:tcW w:w="5400" w:type="dxa"/>
            <w:tcBorders>
              <w:top w:val="single" w:color="000000" w:sz="4" w:space="0"/>
              <w:left w:val="single" w:color="000000" w:sz="4" w:space="0"/>
              <w:bottom w:val="single" w:color="000000" w:sz="4" w:space="0"/>
              <w:right w:val="single" w:color="000000" w:sz="4" w:space="0"/>
            </w:tcBorders>
          </w:tcPr>
          <w:p w14:paraId="46D33436">
            <w:pPr>
              <w:rPr>
                <w:i/>
                <w:iCs/>
                <w:color w:val="0432FF"/>
              </w:rPr>
            </w:pPr>
            <w:r>
              <w:t>Periodic Liveness Checks and Grace Period &amp; Trigger Activation: check-ins, waiting period and handover trigger.</w:t>
            </w:r>
          </w:p>
        </w:tc>
      </w:tr>
      <w:tr w14:paraId="3470F88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D6C2639">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14:paraId="1953A7AB">
            <w:pPr>
              <w:rPr>
                <w:i/>
                <w:iCs/>
                <w:color w:val="0432FF"/>
              </w:rPr>
            </w:pPr>
            <w:r>
              <w:t>Legal Verification</w:t>
            </w:r>
          </w:p>
        </w:tc>
        <w:tc>
          <w:tcPr>
            <w:tcW w:w="5400" w:type="dxa"/>
            <w:tcBorders>
              <w:top w:val="single" w:color="000000" w:sz="4" w:space="0"/>
              <w:left w:val="single" w:color="000000" w:sz="4" w:space="0"/>
              <w:bottom w:val="single" w:color="000000" w:sz="4" w:space="0"/>
              <w:right w:val="single" w:color="000000" w:sz="4" w:space="0"/>
            </w:tcBorders>
          </w:tcPr>
          <w:p w14:paraId="23C36B14">
            <w:pPr>
              <w:rPr>
                <w:i/>
                <w:iCs/>
                <w:color w:val="0432FF"/>
              </w:rPr>
            </w:pPr>
            <w:r>
              <w:t>Verification Request Management, Legal Document Review &amp; Approval and Digital Signature Verification.</w:t>
            </w:r>
          </w:p>
        </w:tc>
      </w:tr>
      <w:tr w14:paraId="015733BD">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C4D5740">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14:paraId="188183DC">
            <w:pPr>
              <w:rPr>
                <w:i/>
                <w:iCs/>
                <w:color w:val="0432FF"/>
              </w:rPr>
            </w:pPr>
            <w:r>
              <w:t>Digital Asset Handover</w:t>
            </w:r>
          </w:p>
        </w:tc>
        <w:tc>
          <w:tcPr>
            <w:tcW w:w="5400" w:type="dxa"/>
            <w:tcBorders>
              <w:top w:val="single" w:color="000000" w:sz="4" w:space="0"/>
              <w:left w:val="single" w:color="000000" w:sz="4" w:space="0"/>
              <w:bottom w:val="single" w:color="000000" w:sz="4" w:space="0"/>
              <w:right w:val="single" w:color="000000" w:sz="4" w:space="0"/>
            </w:tcBorders>
          </w:tcPr>
          <w:p w14:paraId="1C80277B">
            <w:pPr>
              <w:rPr>
                <w:i/>
                <w:iCs/>
                <w:color w:val="0432FF"/>
              </w:rPr>
            </w:pPr>
            <w:r>
              <w:t>Asset Handover Coordination, Asset Access Authorization and Handover Tracking &amp; Confirmation per asset.</w:t>
            </w:r>
          </w:p>
        </w:tc>
      </w:tr>
      <w:tr w14:paraId="015C5E4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FF37DEE">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14:paraId="77C7592F">
            <w:pPr>
              <w:rPr>
                <w:i/>
                <w:iCs/>
                <w:color w:val="0432FF"/>
              </w:rPr>
            </w:pPr>
            <w:r>
              <w:t>Notification Management</w:t>
            </w:r>
          </w:p>
        </w:tc>
        <w:tc>
          <w:tcPr>
            <w:tcW w:w="5400" w:type="dxa"/>
            <w:tcBorders>
              <w:top w:val="single" w:color="000000" w:sz="4" w:space="0"/>
              <w:left w:val="single" w:color="000000" w:sz="4" w:space="0"/>
              <w:bottom w:val="single" w:color="000000" w:sz="4" w:space="0"/>
              <w:right w:val="single" w:color="000000" w:sz="4" w:space="0"/>
            </w:tcBorders>
          </w:tcPr>
          <w:p w14:paraId="552A0BBA">
            <w:pPr>
              <w:rPr>
                <w:i/>
                <w:iCs/>
                <w:color w:val="0432FF"/>
              </w:rPr>
            </w:pPr>
            <w:r>
              <w:t>Event Notification Delivery: check-in, trigger, verification and handover messages.</w:t>
            </w:r>
          </w:p>
        </w:tc>
      </w:tr>
      <w:tr w14:paraId="694EC931">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5CA16150">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14:paraId="61A25E6D">
            <w:pPr>
              <w:rPr>
                <w:i/>
                <w:iCs/>
                <w:color w:val="0432FF"/>
              </w:rPr>
            </w:pPr>
            <w:r>
              <w:t>Audit &amp; Monitoring</w:t>
            </w:r>
          </w:p>
        </w:tc>
        <w:tc>
          <w:tcPr>
            <w:tcW w:w="5400" w:type="dxa"/>
            <w:tcBorders>
              <w:top w:val="single" w:color="000000" w:sz="4" w:space="0"/>
              <w:left w:val="single" w:color="000000" w:sz="4" w:space="0"/>
              <w:bottom w:val="single" w:color="000000" w:sz="4" w:space="0"/>
              <w:right w:val="single" w:color="000000" w:sz="4" w:space="0"/>
            </w:tcBorders>
          </w:tcPr>
          <w:p w14:paraId="6AEF343A">
            <w:pPr>
              <w:rPr>
                <w:i/>
                <w:iCs/>
                <w:color w:val="0432FF"/>
              </w:rPr>
            </w:pPr>
            <w:r>
              <w:t>Activity &amp; Access Logging and Security Monitoring &amp; Alerts.</w:t>
            </w:r>
          </w:p>
        </w:tc>
      </w:tr>
      <w:tr w14:paraId="463DA4F4">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81BE460">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14:paraId="1E6BD1AC">
            <w:pPr>
              <w:rPr>
                <w:i/>
                <w:iCs/>
                <w:color w:val="0432FF"/>
              </w:rPr>
            </w:pPr>
            <w:r>
              <w:t>System Configuration</w:t>
            </w:r>
          </w:p>
        </w:tc>
        <w:tc>
          <w:tcPr>
            <w:tcW w:w="5400" w:type="dxa"/>
            <w:tcBorders>
              <w:top w:val="single" w:color="000000" w:sz="4" w:space="0"/>
              <w:left w:val="single" w:color="000000" w:sz="4" w:space="0"/>
              <w:bottom w:val="single" w:color="000000" w:sz="4" w:space="0"/>
              <w:right w:val="single" w:color="000000" w:sz="4" w:space="0"/>
            </w:tcBorders>
          </w:tcPr>
          <w:p w14:paraId="0BAC0D39">
            <w:pPr>
              <w:rPr>
                <w:i/>
                <w:iCs/>
                <w:color w:val="0432FF"/>
              </w:rPr>
            </w:pPr>
            <w:r>
              <w:t>System Policy &amp; Rule Configuration and Data Backup Configuration.</w:t>
            </w:r>
          </w:p>
        </w:tc>
      </w:tr>
      <w:tr w14:paraId="1160F2B9">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0A4DCDAF">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14:paraId="58A0AA67">
            <w:pPr>
              <w:rPr>
                <w:i/>
                <w:iCs/>
                <w:color w:val="0432FF"/>
              </w:rPr>
            </w:pPr>
            <w:r>
              <w:t>External Integrations</w:t>
            </w:r>
          </w:p>
        </w:tc>
        <w:tc>
          <w:tcPr>
            <w:tcW w:w="5400" w:type="dxa"/>
            <w:tcBorders>
              <w:top w:val="single" w:color="000000" w:sz="4" w:space="0"/>
              <w:left w:val="single" w:color="000000" w:sz="4" w:space="0"/>
              <w:bottom w:val="single" w:color="000000" w:sz="4" w:space="0"/>
              <w:right w:val="single" w:color="000000" w:sz="4" w:space="0"/>
            </w:tcBorders>
          </w:tcPr>
          <w:p w14:paraId="4F6E2CC5">
            <w:pPr>
              <w:rPr>
                <w:i/>
                <w:iCs/>
                <w:color w:val="0432FF"/>
              </w:rPr>
            </w:pPr>
            <w:r>
              <w:t>OTP / eKYC Services, Digital Signature Services and Electronic Notarization Gateway.</w:t>
            </w:r>
          </w:p>
        </w:tc>
      </w:tr>
    </w:tbl>
    <w:p w14:paraId="7C97DCF4"/>
    <w:p>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F5F5F79">
      <w:pPr>
        <w:pStyle w:val="3"/>
        <w:keepNext/>
      </w:pPr>
      <w:r>
        <w:t>IV.3 Class diagram</w:t>
      </w:r>
    </w:p>
    <w:p w14:paraId="5C8C5B78">
      <w:pPr>
        <w:pStyle w:val="5"/>
        <w:keepNext/>
      </w:pPr>
      <w:r>
        <w:t xml:space="preserve">IV.3.1 Domain Class Diagram</w:t>
      </w:r>
    </w:p>
    <w:p w14:paraId="143436DD">
      <w:pPr>
        <w:keepNext/>
        <w:jc w:val="both"/>
      </w:pPr>
      <w:r>
        <w:t>The class diagram contains 24 classes, the same classes as the Conceptual Diagram. User holds the common account data (login, logout, OTP); every role is a profile class linked to the user with a 1 to 0..1 association (VaultOwner, DigitalExecutor, Beneficiary, LegalVerifier and SystemAdministrator) and carries the operations of that role. SystemAdministrator also manages the Permissions and the IntegrationConfig. Vault is the aggregate root: it contains digital assets, legal documents and one DeadManSwitch, which records CheckIn and takes its default values from SystemPolicy. Handover is modelled by ExecutorAppointment, LegalVerificationRequest with its VerificationMessage, HandoverCase with its HandoverItem, and BeneficiaryAssignment with its IdentityVerification. Notification, AuditLog, SystemPolicy and IntegrationConfig support notification, monitoring and administration.</w:t>
      </w:r>
    </w:p>
    <w:p w14:paraId="1EBBE829">
      <w:pPr>
        <w:keepNext/>
        <w:jc w:val="center"/>
      </w:pPr>
      <w:r>
        <w:drawing>
          <wp:inline distT="0" distB="0" distL="114300" distR="114300">
            <wp:extent cx="6394125" cy="450000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6394125" cy="4500000"/>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C8C5B78">
      <w:pPr>
        <w:pStyle w:val="5"/>
        <w:keepNext/>
      </w:pPr>
      <w:r>
        <w:t xml:space="preserve">IV.3.2 Service and Repository Layers</w:t>
      </w:r>
    </w:p>
    <w:p w14:paraId="143436DD">
      <w:pPr>
        <w:keepNext/>
        <w:jc w:val="both"/>
      </w:pPr>
      <w:r>
        <w:t xml:space="preserve">The layered class diagram shows how the business logic is separated from data access. The Business layer contains four service classes (stereotype «control»): VaultService manages assets, legal documents, beneficiaries and the executor; DeadManSwitchService configures the switch, records check-ins and triggers the handover; LegalVerificationService submits, approves or rejects the verification request and unlocks the vault; HandoverService creates the assignment of each asset, delivers it and tracks the handover progress. Each service depends only on a repository interface (dashed arrow «uses»), and each interface is realized by an Impl class that accesses the database through a DbContext (dashed arrow with a hollow triangle «implements»). The services therefore never depend on the Impl classes, so the database technology can be replaced by writing a new Impl class without changing the business layer.</w:t>
      </w:r>
    </w:p>
    <w:p w14:paraId="6140954C">
      <w:pPr>
        <w:keepNext/>
        <w:jc w:val="center"/>
      </w:pPr>
      <w:r>
        <w:drawing>
          <wp:inline xmlns:a="http://schemas.openxmlformats.org/drawingml/2006/main" xmlns:pic="http://schemas.openxmlformats.org/drawingml/2006/picture">
            <wp:extent cx="9235440" cy="3783192"/>
            <wp:docPr id="16" name="Picture 16"/>
            <wp:cNvGraphicFramePr>
              <a:graphicFrameLocks noChangeAspect="1"/>
            </wp:cNvGraphicFramePr>
            <a:graphic>
              <a:graphicData uri="http://schemas.openxmlformats.org/drawingml/2006/picture">
                <pic:pic>
                  <pic:nvPicPr>
                    <pic:cNvPr id="0" name="layers.png"/>
                    <pic:cNvPicPr/>
                  </pic:nvPicPr>
                  <pic:blipFill>
                    <a:blip r:embed="rId23"/>
                    <a:stretch>
                      <a:fillRect/>
                    </a:stretch>
                  </pic:blipFill>
                  <pic:spPr>
                    <a:xfrm>
                      <a:off x="0" y="0"/>
                      <a:ext cx="9235440" cy="3783192"/>
                    </a:xfrm>
                    <a:prstGeom prst="rect"/>
                  </pic:spPr>
                </pic:pic>
              </a:graphicData>
            </a:graphic>
          </wp:inline>
        </w:drawing>
      </w:r>
    </w:p>
    <w:p w14:paraId="4D333BC7">
      <w:pPr>
        <w:pStyle w:val="10"/>
        <w:jc w:val="center"/>
      </w:pPr>
      <w:r>
        <w:rPr>
          <w:i/>
        </w:rPr>
        <w:t xml:space="preserve">Figure 12. Service and Repository Layers Class Diagram of LegacyVault</w:t>
      </w:r>
    </w:p>
    <w:p w14:paraId="063D355D">
      <w:pPr>
        <w:pStyle w:val="3"/>
        <w:keepNext/>
      </w:pPr>
      <w:r>
        <w:t>IV.4 Database Design</w:t>
      </w:r>
    </w:p>
    <w:p w14:paraId="5C8C5B78">
      <w:pPr>
        <w:pStyle w:val="5"/>
        <w:keepNext/>
      </w:pPr>
      <w:r>
        <w:t>IV.4.1 Conceptual Diagram</w:t>
      </w:r>
    </w:p>
    <w:p w14:paraId="6140954C">
      <w:pPr>
        <w:keepNext/>
        <w:jc w:val="center"/>
      </w:pPr>
      <w:r>
        <w:drawing>
          <wp:inline distT="0" distB="0" distL="114300" distR="114300">
            <wp:extent cx="7028159" cy="4950000"/>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7028159" cy="4950000"/>
                    </a:xfrm>
                    <a:prstGeom prst="rect">
                      <a:avLst/>
                    </a:prstGeom>
                  </pic:spPr>
                </pic:pic>
              </a:graphicData>
            </a:graphic>
          </wp:inline>
        </w:drawing>
      </w:r>
    </w:p>
    <w:p w14:paraId="4D333BC7">
      <w:pPr>
        <w:pStyle w:val="10"/>
        <w:jc w:val="center"/>
      </w:pPr>
      <w:r>
        <w:rPr>
          <w:i/>
        </w:rPr>
        <w:t xml:space="preserve">Figure 13.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63337" cy="4572000"/>
                    </a:xfrm>
                    <a:prstGeom prst="rect">
                      <a:avLst/>
                    </a:prstGeom>
                  </pic:spPr>
                </pic:pic>
              </a:graphicData>
            </a:graphic>
          </wp:inline>
        </w:drawing>
      </w:r>
    </w:p>
    <w:p w14:paraId="30DFAD18">
      <w:pPr>
        <w:pStyle w:val="10"/>
        <w:jc w:val="center"/>
      </w:pPr>
      <w:r>
        <w:rPr>
          <w:i/>
        </w:rPr>
        <w:t xml:space="preserve">Figure 14.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Courier New">
    <w:panose1 w:val="02070309020205020404"/>
    <w:charset w:val="01"/>
    <w:family w:val="roman"/>
    <w:pitch w:val="default"/>
    <w:sig w:usb0="E0002EFF" w:usb1="C0007843" w:usb2="00000009" w:usb3="00000000" w:csb0="400001FF" w:csb1="FFFF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uiPriority w:val="39"/>
    <w:pPr>
      <w:spacing w:before="0" w:after="100"/>
    </w:pPr>
  </w:style>
  <w:style w:type="paragraph" w:styleId="17">
    <w:name w:val="toc 2"/>
    <w:basedOn w:val="1"/>
    <w:next w:val="1"/>
    <w:autoRedefine/>
    <w:unhideWhenUsed/>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31</Pages>
  <Words>224</Words>
  <Characters>1228</Characters>
  <Paragraphs>294</Paragraphs>
  <TotalTime>0</TotalTime>
  <ScaleCrop>false</ScaleCrop>
  <LinksUpToDate>false</LinksUpToDate>
  <CharactersWithSpaces>1458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2026-10-22T09:31:34Z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