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A5F"/>
          <w:sz w:val="34"/>
          <w:szCs w:val="34"/>
        </w:rPr>
        <w:t xml:space="preserve">Methodology Selection for Trip-Context Hotel Cluster Recommendation</w:t>
      </w:r>
    </w:p>
    <w:p>
      <w:pPr>
        <w:spacing w:after="200"/>
      </w:pPr>
      <w:r>
        <w:rPr>
          <w:rFonts w:ascii="Calibri" w:cs="Calibri" w:eastAsia="Calibri" w:hAnsi="Calibri"/>
          <w:color w:val="52514E"/>
          <w:sz w:val="22"/>
          <w:szCs w:val="22"/>
        </w:rPr>
        <w:t xml:space="preserve">Analysis of AdaGIN (primary) and SMLP4Rec (secondary) against the Expedia Hotel Recommendations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Item</w:t>
            </w:r>
          </w:p>
        </w:tc>
        <w:tc>
          <w:tcPr>
            <w:tcW w:type="dxa" w:w="7711"/>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Content</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Task</w:t>
            </w:r>
          </w:p>
        </w:tc>
        <w:tc>
          <w:tcPr>
            <w:tcW w:type="dxa" w:w="771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Rank 100 hotel clusters for a search event, given trip context and the user's prior bookings where available</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Dataset</w:t>
            </w:r>
          </w:p>
        </w:tc>
        <w:tc>
          <w:tcPr>
            <w:tcW w:type="dxa" w:w="771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Expedia Hotel Recommendations: 3,000,693 bookings, 813,985 booking users, 2013-01-07 to 2014-12-31</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Protocol</w:t>
            </w:r>
          </w:p>
        </w:tc>
        <w:tc>
          <w:tcPr>
            <w:tcW w:type="dxa" w:w="771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Global temporal split [7] (2,400,554 train / 600,139 test bookings); full ranking over 100 clusters; Recall@K, NDCG@K, MRR, K = 5, 10, 20</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Selection</w:t>
            </w:r>
          </w:p>
        </w:tc>
        <w:tc>
          <w:tcPr>
            <w:tcW w:type="dxa" w:w="771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Primary: AdaGIN (ACM TOIS 2024). Secondary: SMLP4Rec (ACM TOIS 2024). Baseline: LightGBM. Second stage: LLM reranking on a subsample</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Date</w:t>
            </w:r>
          </w:p>
        </w:tc>
        <w:tc>
          <w:tcPr>
            <w:tcW w:type="dxa" w:w="771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23 September 2026</w:t>
            </w:r>
          </w:p>
        </w:tc>
      </w:tr>
    </w:tbl>
    <w:p>
      <w:pPr>
        <w:pStyle w:val="Heading1"/>
        <w:keepNext/>
        <w:keepLines/>
        <w:spacing w:after="120" w:before="280"/>
      </w:pPr>
      <w:r>
        <w:rPr>
          <w:rFonts w:ascii="Calibri" w:cs="Calibri" w:eastAsia="Calibri" w:hAnsi="Calibri"/>
        </w:rPr>
        <w:t xml:space="preserve">1. Problem and data properties</w:t>
      </w:r>
    </w:p>
    <w:p>
      <w:pPr>
        <w:pStyle w:val="Heading2"/>
        <w:keepNext/>
        <w:keepLines/>
        <w:spacing w:after="80" w:before="200"/>
      </w:pPr>
      <w:r>
        <w:rPr>
          <w:rFonts w:ascii="Calibri" w:cs="Calibri" w:eastAsia="Calibri" w:hAnsi="Calibri"/>
        </w:rPr>
        <w:t xml:space="preserve">1.1 Problem</w:t>
      </w:r>
    </w:p>
    <w:p>
      <w:pPr>
        <w:spacing w:after="100" w:line="276"/>
        <w:jc w:val="both"/>
      </w:pPr>
      <w:r>
        <w:rPr>
          <w:rFonts w:ascii="Calibri" w:cs="Calibri" w:eastAsia="Calibri" w:hAnsi="Calibri"/>
          <w:sz w:val="21"/>
          <w:szCs w:val="21"/>
        </w:rPr>
        <w:t xml:space="preserve">A traveller searches with a destination, stay dates, party composition, channel and device. The model ranks 100 anonymous hotel clusters so that the booked cluster appears as high as possible. Clusters carry no name, text or attributes and act as a proxy for room category or package. Training uses booking events only; clicks (92.03% of rows) are not used as positives.</w:t>
      </w:r>
    </w:p>
    <w:p>
      <w:pPr>
        <w:pStyle w:val="Heading2"/>
        <w:keepNext/>
        <w:keepLines/>
        <w:spacing w:after="80" w:before="200"/>
      </w:pPr>
      <w:r>
        <w:rPr>
          <w:rFonts w:ascii="Calibri" w:cs="Calibri" w:eastAsia="Calibri" w:hAnsi="Calibri"/>
        </w:rPr>
        <w:t xml:space="preserve">1.2 Properties that determine method choice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819"/>
        <w:gridCol w:w="2731"/>
      </w:tblGrid>
      <w:tr>
        <w:trPr>
          <w:cantSplit/>
          <w:tblHeader/>
        </w:trPr>
        <w:tc>
          <w:tcPr>
            <w:tcW w:type="dxa" w:w="2088"/>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Property</w:t>
            </w:r>
          </w:p>
        </w:tc>
        <w:tc>
          <w:tcPr>
            <w:tcW w:type="dxa" w:w="4819"/>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Measured value</w:t>
            </w:r>
          </w:p>
        </w:tc>
        <w:tc>
          <w:tcPr>
            <w:tcW w:type="dxa" w:w="2731"/>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Requirement on the method</w:t>
            </w:r>
          </w:p>
        </w:tc>
      </w:tr>
      <w:tr>
        <w:trPr>
          <w:cantSplit/>
          <w:tblHeader w:val="false"/>
        </w:trPr>
        <w:tc>
          <w:tcPr>
            <w:tcW w:type="dxa" w:w="2088"/>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Context dominates</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Mean Jensen–Shannon divergence of the cluster distribution: destination 0.4076, market 0.3953, package 0.0386, party 0.0139, check-in month 0.0019 bits</w:t>
            </w:r>
          </w:p>
        </w:tc>
        <w:tc>
          <w:tcPr>
            <w:tcW w:type="dxa" w:w="273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Consume trip context directly</w:t>
            </w:r>
          </w:p>
        </w:tc>
      </w:tr>
      <w:tr>
        <w:trPr>
          <w:cantSplit/>
          <w:tblHeader w:val="false"/>
        </w:trPr>
        <w:tc>
          <w:tcPr>
            <w:tcW w:type="dxa" w:w="2088"/>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Signal lies in interactions</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Recall@5: destination 53.07%; destination × check-in month 46.55%; destination × party 51.59%</w:t>
            </w:r>
          </w:p>
        </w:tc>
        <w:tc>
          <w:tcPr>
            <w:tcW w:type="dxa" w:w="273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Learn feature interactions without count fragmentation</w:t>
            </w:r>
          </w:p>
        </w:tc>
      </w:tr>
      <w:tr>
        <w:trPr>
          <w:cantSplit/>
          <w:tblHeader w:val="false"/>
        </w:trPr>
        <w:tc>
          <w:tcPr>
            <w:tcW w:type="dxa" w:w="2088"/>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High-cardinality destination</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59,455 destination values; 36,933 with a booking; 10,789 with exactly one booking; market fallback (2,118 values) covers 99.998% of test</w:t>
            </w:r>
          </w:p>
        </w:tc>
        <w:tc>
          <w:tcPr>
            <w:tcW w:type="dxa" w:w="273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Embedding or thresholded encoding with fallback</w:t>
            </w:r>
          </w:p>
        </w:tc>
      </w:tr>
      <w:tr>
        <w:trPr>
          <w:cantSplit/>
          <w:tblHeader w:val="false"/>
        </w:trPr>
        <w:tc>
          <w:tcPr>
            <w:tcW w:type="dxa" w:w="2088"/>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Short user history</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Median 2 bookings per user; 38.78% have one; 40.57% have three or more; 21.33% of bookings repeat a prior cluster</w:t>
            </w:r>
          </w:p>
        </w:tc>
        <w:tc>
          <w:tcPr>
            <w:tcW w:type="dxa" w:w="273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Sequence mechanism has limited signal</w:t>
            </w:r>
          </w:p>
        </w:tc>
      </w:tr>
      <w:tr>
        <w:trPr>
          <w:cantSplit/>
          <w:tblHeader w:val="false"/>
        </w:trPr>
        <w:tc>
          <w:tcPr>
            <w:tcW w:type="dxa" w:w="2088"/>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Cold users</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30.14% of test events belong to users unseen in training</w:t>
            </w:r>
          </w:p>
        </w:tc>
        <w:tc>
          <w:tcPr>
            <w:tcW w:type="dxa" w:w="273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Rank from context without user history</w:t>
            </w:r>
          </w:p>
        </w:tc>
      </w:tr>
      <w:tr>
        <w:trPr>
          <w:cantSplit/>
          <w:tblHeader w:val="false"/>
        </w:trPr>
        <w:tc>
          <w:tcPr>
            <w:tcW w:type="dxa" w:w="2088"/>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Non-stationarity</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Package share 21.78% (Jan 2014) to 9.42% (Dec 2014); volume +92.9% from 2013 to 2014</w:t>
            </w:r>
          </w:p>
        </w:tc>
        <w:tc>
          <w:tcPr>
            <w:tcW w:type="dxa" w:w="273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Validate on the quarter before test; time features</w:t>
            </w:r>
          </w:p>
        </w:tc>
      </w:tr>
    </w:tbl>
    <w:p>
      <w:pPr>
        <w:spacing w:after="40" w:before="8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19350"/>
                    </a:xfrm>
                    <a:prstGeom prst="rect">
                      <a:avLst/>
                    </a:prstGeom>
                  </pic:spPr>
                </pic:pic>
              </a:graphicData>
            </a:graphic>
          </wp:inline>
        </w:drawing>
      </w:r>
    </w:p>
    <w:p>
      <w:pPr>
        <w:spacing w:after="160"/>
        <w:jc w:val="center"/>
      </w:pPr>
      <w:r>
        <w:rPr>
          <w:rFonts w:ascii="Calibri" w:cs="Calibri" w:eastAsia="Calibri" w:hAnsi="Calibri"/>
          <w:i/>
          <w:iCs/>
          <w:color w:val="52514E"/>
          <w:sz w:val="18"/>
          <w:szCs w:val="18"/>
        </w:rPr>
        <w:t xml:space="preserve">Figure 1. Recall@5 of conditional frequency tables on the temporal test split. Conditioning on destination is the reference a learned model must exceed.</w:t>
      </w:r>
    </w:p>
    <w:p>
      <w:pPr>
        <w:spacing w:after="40" w:before="8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95625"/>
                    </a:xfrm>
                    <a:prstGeom prst="rect">
                      <a:avLst/>
                    </a:prstGeom>
                  </pic:spPr>
                </pic:pic>
              </a:graphicData>
            </a:graphic>
          </wp:inline>
        </w:drawing>
      </w:r>
    </w:p>
    <w:p>
      <w:pPr>
        <w:spacing w:after="160"/>
        <w:jc w:val="center"/>
      </w:pPr>
      <w:r>
        <w:rPr>
          <w:rFonts w:ascii="Calibri" w:cs="Calibri" w:eastAsia="Calibri" w:hAnsi="Calibri"/>
          <w:i/>
          <w:iCs/>
          <w:color w:val="52514E"/>
          <w:sz w:val="18"/>
          <w:szCs w:val="18"/>
        </w:rPr>
        <w:t xml:space="preserve">Figure 2. Bookings per user. The median user has two bookings.</w:t>
      </w:r>
    </w:p>
    <w:p>
      <w:pPr>
        <w:pStyle w:val="Heading1"/>
        <w:keepNext/>
        <w:keepLines/>
        <w:spacing w:after="120" w:before="280"/>
      </w:pPr>
      <w:r>
        <w:rPr>
          <w:rFonts w:ascii="Calibri" w:cs="Calibri" w:eastAsia="Calibri" w:hAnsi="Calibri"/>
        </w:rPr>
        <w:t xml:space="preserve">2. Selection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Criterion</w:t>
            </w:r>
          </w:p>
        </w:tc>
        <w:tc>
          <w:tcPr>
            <w:tcW w:type="dxa" w:w="7229"/>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Condition</w:t>
            </w:r>
          </w:p>
        </w:tc>
      </w:tr>
      <w:tr>
        <w:trPr>
          <w:cantSplit/>
          <w:tblHeader w:val="false"/>
        </w:trPr>
        <w:tc>
          <w:tcPr>
            <w:tcW w:type="dxa" w:w="240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C1 Publication</w:t>
            </w:r>
          </w:p>
        </w:tc>
        <w:tc>
          <w:tcPr>
            <w:tcW w:type="dxa" w:w="722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Peer-reviewed journal with strict review, published 2023–2025</w:t>
            </w:r>
          </w:p>
        </w:tc>
      </w:tr>
      <w:tr>
        <w:trPr>
          <w:cantSplit/>
          <w:tblHeader w:val="false"/>
        </w:trPr>
        <w:tc>
          <w:tcPr>
            <w:tcW w:type="dxa" w:w="240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C2 Code</w:t>
            </w:r>
          </w:p>
        </w:tc>
        <w:tc>
          <w:tcPr>
            <w:tcW w:type="dxa" w:w="722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Public reference implementation by the authors</w:t>
            </w:r>
          </w:p>
        </w:tc>
      </w:tr>
      <w:tr>
        <w:trPr>
          <w:cantSplit/>
          <w:tblHeader w:val="false"/>
        </w:trPr>
        <w:tc>
          <w:tcPr>
            <w:tcW w:type="dxa" w:w="240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C3 Interactions</w:t>
            </w:r>
          </w:p>
        </w:tc>
        <w:tc>
          <w:tcPr>
            <w:tcW w:type="dxa" w:w="722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Represents interactions among context fields without manual enumeration</w:t>
            </w:r>
          </w:p>
        </w:tc>
      </w:tr>
      <w:tr>
        <w:trPr>
          <w:cantSplit/>
          <w:tblHeader w:val="false"/>
        </w:trPr>
        <w:tc>
          <w:tcPr>
            <w:tcW w:type="dxa" w:w="240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C4 High cardinality</w:t>
            </w:r>
          </w:p>
        </w:tc>
        <w:tc>
          <w:tcPr>
            <w:tcW w:type="dxa" w:w="722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Handles a 59,455-value categorical field without overfitting its singleton tail</w:t>
            </w:r>
          </w:p>
        </w:tc>
      </w:tr>
      <w:tr>
        <w:trPr>
          <w:cantSplit/>
          <w:tblHeader w:val="false"/>
        </w:trPr>
        <w:tc>
          <w:tcPr>
            <w:tcW w:type="dxa" w:w="240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C5 Cold users</w:t>
            </w:r>
          </w:p>
        </w:tc>
        <w:tc>
          <w:tcPr>
            <w:tcW w:type="dxa" w:w="722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Produces a ranking for users without history</w:t>
            </w:r>
          </w:p>
        </w:tc>
      </w:tr>
      <w:tr>
        <w:trPr>
          <w:cantSplit/>
          <w:tblHeader w:val="false"/>
        </w:trPr>
        <w:tc>
          <w:tcPr>
            <w:tcW w:type="dxa" w:w="240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C6 Feasibility</w:t>
            </w:r>
          </w:p>
        </w:tc>
        <w:tc>
          <w:tcPr>
            <w:tcW w:type="dxa" w:w="722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Trains and evaluates within 2–3 weeks on one workstation</w:t>
            </w:r>
          </w:p>
        </w:tc>
      </w:tr>
    </w:tbl>
    <w:p>
      <w:pPr>
        <w:pStyle w:val="Heading1"/>
        <w:keepNext/>
        <w:keepLines/>
        <w:spacing w:after="120" w:before="280"/>
      </w:pPr>
      <w:r>
        <w:rPr>
          <w:rFonts w:ascii="Calibri" w:cs="Calibri" w:eastAsia="Calibri" w:hAnsi="Calibri"/>
        </w:rPr>
        <w:t xml:space="preserve">3. AdaGIN — primary methodology</w:t>
      </w:r>
    </w:p>
    <w:p>
      <w:pPr>
        <w:pStyle w:val="Heading2"/>
        <w:keepNext/>
        <w:keepLines/>
        <w:spacing w:after="80" w:before="200"/>
      </w:pPr>
      <w:r>
        <w:rPr>
          <w:rFonts w:ascii="Calibri" w:cs="Calibri" w:eastAsia="Calibri" w:hAnsi="Calibri"/>
        </w:rPr>
        <w:t xml:space="preserve">3.1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Item</w:t>
            </w:r>
          </w:p>
        </w:tc>
        <w:tc>
          <w:tcPr>
            <w:tcW w:type="dxa" w:w="7497"/>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Detail</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Paper</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L. Sang, H. Li, Y. Zhang, Y. Zhang, Y. Yang. AdaGIN: Adaptive Graph Interaction Network for Click-Through Rate Prediction. ACM Transactions on Information Systems, 2024</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Code</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github.com/salmon1802/AdaGIN (second author), Apache-2.0, built on FuxiCTR (PyTorch)</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Benchmarks in repository</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Criteo, Avazu, Frappe (context-aware app usage), MovieLens-1M</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Task type</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Binary prediction per (context, item) row, trained with binary cross-entropy</w:t>
            </w:r>
          </w:p>
        </w:tc>
      </w:tr>
    </w:tbl>
    <w:p>
      <w:pPr>
        <w:pStyle w:val="Heading2"/>
        <w:keepNext/>
        <w:keepLines/>
        <w:spacing w:after="80" w:before="200"/>
      </w:pPr>
      <w:r>
        <w:rPr>
          <w:rFonts w:ascii="Calibri" w:cs="Calibri" w:eastAsia="Calibri" w:hAnsi="Calibri"/>
        </w:rPr>
        <w:t xml:space="preserve">3.2 General principle</w:t>
      </w:r>
    </w:p>
    <w:p>
      <w:pPr>
        <w:spacing w:after="100" w:line="276"/>
        <w:jc w:val="both"/>
      </w:pPr>
      <w:r>
        <w:rPr>
          <w:rFonts w:ascii="Calibri" w:cs="Calibri" w:eastAsia="Calibri" w:hAnsi="Calibri"/>
          <w:sz w:val="21"/>
          <w:szCs w:val="21"/>
        </w:rPr>
        <w:t xml:space="preserve">AdaGIN is a feature-interaction model. Every input field (destination, party, dates, cluster, and so on) is mapped to an embedding; the model then learns which fields interact and how strongly, per sample.</w:t>
      </w:r>
    </w:p>
    <w:p>
      <w:pPr>
        <w:pStyle w:val="ListParagraph"/>
        <w:numPr>
          <w:ilvl w:val="0"/>
          <w:numId w:val="2"/>
        </w:numPr>
        <w:spacing w:after="60" w:line="264"/>
      </w:pPr>
      <w:r>
        <w:rPr>
          <w:rFonts w:ascii="Calibri" w:cs="Calibri" w:eastAsia="Calibri" w:hAnsi="Calibri"/>
          <w:b/>
          <w:bCs/>
          <w:sz w:val="21"/>
          <w:szCs w:val="21"/>
        </w:rPr>
        <w:t xml:space="preserve">Graph-based feature interaction (GFIM).</w:t>
      </w:r>
      <w:r>
        <w:rPr>
          <w:rFonts w:ascii="Calibri" w:cs="Calibri" w:eastAsia="Calibri" w:hAnsi="Calibri"/>
          <w:sz w:val="21"/>
          <w:szCs w:val="21"/>
        </w:rPr>
        <w:t xml:space="preserve"> Fields are graph nodes. For each sample the model builds a sparse adjacency between fields, aggregates information from connected fields over several layers, and gates each field by a learned importance weight. The interaction structure therefore adapts to each search event instead of being fixed for the dataset.</w:t>
      </w:r>
    </w:p>
    <w:p>
      <w:pPr>
        <w:pStyle w:val="ListParagraph"/>
        <w:numPr>
          <w:ilvl w:val="0"/>
          <w:numId w:val="2"/>
        </w:numPr>
        <w:spacing w:after="60" w:line="264"/>
      </w:pPr>
      <w:r>
        <w:rPr>
          <w:rFonts w:ascii="Calibri" w:cs="Calibri" w:eastAsia="Calibri" w:hAnsi="Calibri"/>
          <w:b/>
          <w:bCs/>
          <w:sz w:val="21"/>
          <w:szCs w:val="21"/>
        </w:rPr>
        <w:t xml:space="preserve">Multi-semantic interaction (MFIM).</w:t>
      </w:r>
      <w:r>
        <w:rPr>
          <w:rFonts w:ascii="Calibri" w:cs="Calibri" w:eastAsia="Calibri" w:hAnsi="Calibri"/>
          <w:sz w:val="21"/>
          <w:szCs w:val="21"/>
        </w:rPr>
        <w:t xml:space="preserve"> The graph output is read in three spaces: element-wise products of field pairs, inner products of field pairs, and the concatenated embeddings. Each space has its own predictor and a gate; the gated outputs are summed into the score.</w:t>
      </w:r>
    </w:p>
    <w:p>
      <w:pPr>
        <w:pStyle w:val="ListParagraph"/>
        <w:numPr>
          <w:ilvl w:val="0"/>
          <w:numId w:val="2"/>
        </w:numPr>
        <w:spacing w:after="60" w:line="264"/>
      </w:pPr>
      <w:r>
        <w:rPr>
          <w:rFonts w:ascii="Calibri" w:cs="Calibri" w:eastAsia="Calibri" w:hAnsi="Calibri"/>
          <w:b/>
          <w:bCs/>
          <w:sz w:val="21"/>
          <w:szCs w:val="21"/>
        </w:rPr>
        <w:t xml:space="preserve">Negative-feedback search (NFS).</w:t>
      </w:r>
      <w:r>
        <w:rPr>
          <w:rFonts w:ascii="Calibri" w:cs="Calibri" w:eastAsia="Calibri" w:hAnsi="Calibri"/>
          <w:sz w:val="21"/>
          <w:szCs w:val="21"/>
        </w:rPr>
        <w:t xml:space="preserve"> During training, a branch whose gate stays non-positive for a set number of consecutive batches is switched off permanently. This prunes branches that do not contribute and reduces model complexity.</w:t>
      </w:r>
    </w:p>
    <w:p>
      <w:pPr>
        <w:pStyle w:val="Heading2"/>
        <w:keepNext/>
        <w:keepLines/>
        <w:spacing w:after="80" w:before="200"/>
      </w:pPr>
      <w:r>
        <w:rPr>
          <w:rFonts w:ascii="Calibri" w:cs="Calibri" w:eastAsia="Calibri" w:hAnsi="Calibri"/>
        </w:rPr>
        <w:t xml:space="preserve">3.3 Strengths</w:t>
      </w:r>
    </w:p>
    <w:p>
      <w:pPr>
        <w:pStyle w:val="ListParagraph"/>
        <w:numPr>
          <w:ilvl w:val="0"/>
          <w:numId w:val="2"/>
        </w:numPr>
        <w:spacing w:after="60" w:line="264"/>
      </w:pPr>
      <w:r>
        <w:rPr>
          <w:rFonts w:ascii="Calibri" w:cs="Calibri" w:eastAsia="Calibri" w:hAnsi="Calibri"/>
          <w:sz w:val="21"/>
          <w:szCs w:val="21"/>
        </w:rPr>
        <w:t xml:space="preserve">Explicit, high-order interactions between fields. This matches the finding that season and party act through destination, not alone.</w:t>
      </w:r>
    </w:p>
    <w:p>
      <w:pPr>
        <w:pStyle w:val="ListParagraph"/>
        <w:numPr>
          <w:ilvl w:val="0"/>
          <w:numId w:val="2"/>
        </w:numPr>
        <w:spacing w:after="60" w:line="264"/>
      </w:pPr>
      <w:r>
        <w:rPr>
          <w:rFonts w:ascii="Calibri" w:cs="Calibri" w:eastAsia="Calibri" w:hAnsi="Calibri"/>
          <w:sz w:val="21"/>
          <w:szCs w:val="21"/>
        </w:rPr>
        <w:t xml:space="preserve">Sample-adaptive structure. Trip archetypes (solo short-lead, family summer, package) can use different interaction patterns.</w:t>
      </w:r>
    </w:p>
    <w:p>
      <w:pPr>
        <w:pStyle w:val="ListParagraph"/>
        <w:numPr>
          <w:ilvl w:val="0"/>
          <w:numId w:val="2"/>
        </w:numPr>
        <w:spacing w:after="60" w:line="264"/>
      </w:pPr>
      <w:r>
        <w:rPr>
          <w:rFonts w:ascii="Calibri" w:cs="Calibri" w:eastAsia="Calibri" w:hAnsi="Calibri"/>
          <w:sz w:val="21"/>
          <w:szCs w:val="21"/>
        </w:rPr>
        <w:t xml:space="preserve">Native embedding of high-cardinality fields, with the market field available as a shared neighbour for rare destinations.</w:t>
      </w:r>
    </w:p>
    <w:p>
      <w:pPr>
        <w:pStyle w:val="ListParagraph"/>
        <w:numPr>
          <w:ilvl w:val="0"/>
          <w:numId w:val="2"/>
        </w:numPr>
        <w:spacing w:after="60" w:line="264"/>
      </w:pPr>
      <w:r>
        <w:rPr>
          <w:rFonts w:ascii="Calibri" w:cs="Calibri" w:eastAsia="Calibri" w:hAnsi="Calibri"/>
          <w:sz w:val="21"/>
          <w:szCs w:val="21"/>
        </w:rPr>
        <w:t xml:space="preserve">No user history required. Cold users are ranked from context.</w:t>
      </w:r>
    </w:p>
    <w:p>
      <w:pPr>
        <w:pStyle w:val="ListParagraph"/>
        <w:numPr>
          <w:ilvl w:val="0"/>
          <w:numId w:val="2"/>
        </w:numPr>
        <w:spacing w:after="60" w:line="264"/>
      </w:pPr>
      <w:r>
        <w:rPr>
          <w:rFonts w:ascii="Calibri" w:cs="Calibri" w:eastAsia="Calibri" w:hAnsi="Calibri"/>
          <w:sz w:val="21"/>
          <w:szCs w:val="21"/>
        </w:rPr>
        <w:t xml:space="preserve">Field-importance gates and learned adjacency give a partial reading of which context drives the ranking.</w:t>
      </w:r>
    </w:p>
    <w:p>
      <w:pPr>
        <w:pStyle w:val="ListParagraph"/>
        <w:numPr>
          <w:ilvl w:val="0"/>
          <w:numId w:val="2"/>
        </w:numPr>
        <w:spacing w:after="60" w:line="264"/>
      </w:pPr>
      <w:r>
        <w:rPr>
          <w:rFonts w:ascii="Calibri" w:cs="Calibri" w:eastAsia="Calibri" w:hAnsi="Calibri"/>
          <w:sz w:val="21"/>
          <w:szCs w:val="21"/>
        </w:rPr>
        <w:t xml:space="preserve">Runs inside FuxiCTR, which provides DeepFM, DCNv2 and similar models under the same data pipeline, configuration and evaluation.</w:t>
      </w:r>
    </w:p>
    <w:p>
      <w:pPr>
        <w:pStyle w:val="Heading2"/>
        <w:keepNext/>
        <w:keepLines/>
        <w:spacing w:after="80" w:before="200"/>
      </w:pPr>
      <w:r>
        <w:rPr>
          <w:rFonts w:ascii="Calibri" w:cs="Calibri" w:eastAsia="Calibri" w:hAnsi="Calibri"/>
        </w:rPr>
        <w:t xml:space="preserve">3.4 Weaknesses and limitations</w:t>
      </w:r>
    </w:p>
    <w:p>
      <w:pPr>
        <w:pStyle w:val="ListParagraph"/>
        <w:numPr>
          <w:ilvl w:val="0"/>
          <w:numId w:val="2"/>
        </w:numPr>
        <w:spacing w:after="60" w:line="264"/>
      </w:pPr>
      <w:r>
        <w:rPr>
          <w:rFonts w:ascii="Calibri" w:cs="Calibri" w:eastAsia="Calibri" w:hAnsi="Calibri"/>
          <w:b/>
          <w:bCs/>
          <w:sz w:val="21"/>
          <w:szCs w:val="21"/>
        </w:rPr>
        <w:t xml:space="preserve">Formulation mismatch.</w:t>
      </w:r>
      <w:r>
        <w:rPr>
          <w:rFonts w:ascii="Calibri" w:cs="Calibri" w:eastAsia="Calibri" w:hAnsi="Calibri"/>
          <w:sz w:val="21"/>
          <w:szCs w:val="21"/>
        </w:rPr>
        <w:t xml:space="preserve"> The model scores one (context, item) pair at a time. Ranking 100 clusters requires expanding each event into 100 rows: 240 million training rows before negative sampling, and 60 million scoring rows for the test set.</w:t>
      </w:r>
    </w:p>
    <w:p>
      <w:pPr>
        <w:pStyle w:val="ListParagraph"/>
        <w:numPr>
          <w:ilvl w:val="0"/>
          <w:numId w:val="2"/>
        </w:numPr>
        <w:spacing w:after="60" w:line="264"/>
      </w:pPr>
      <w:r>
        <w:rPr>
          <w:rFonts w:ascii="Calibri" w:cs="Calibri" w:eastAsia="Calibri" w:hAnsi="Calibri"/>
          <w:b/>
          <w:bCs/>
          <w:sz w:val="21"/>
          <w:szCs w:val="21"/>
        </w:rPr>
        <w:t xml:space="preserve">Pointwise loss.</w:t>
      </w:r>
      <w:r>
        <w:rPr>
          <w:rFonts w:ascii="Calibri" w:cs="Calibri" w:eastAsia="Calibri" w:hAnsi="Calibri"/>
          <w:sz w:val="21"/>
          <w:szCs w:val="21"/>
        </w:rPr>
        <w:t xml:space="preserve"> Binary cross-entropy does not optimise the ranking of the 100 candidates directly.</w:t>
      </w:r>
    </w:p>
    <w:p>
      <w:pPr>
        <w:pStyle w:val="ListParagraph"/>
        <w:numPr>
          <w:ilvl w:val="0"/>
          <w:numId w:val="2"/>
        </w:numPr>
        <w:spacing w:after="60" w:line="264"/>
      </w:pPr>
      <w:r>
        <w:rPr>
          <w:rFonts w:ascii="Calibri" w:cs="Calibri" w:eastAsia="Calibri" w:hAnsi="Calibri"/>
          <w:b/>
          <w:bCs/>
          <w:sz w:val="21"/>
          <w:szCs w:val="21"/>
        </w:rPr>
        <w:t xml:space="preserve">Numeric fields.</w:t>
      </w:r>
      <w:r>
        <w:rPr>
          <w:rFonts w:ascii="Calibri" w:cs="Calibri" w:eastAsia="Calibri" w:hAnsi="Calibri"/>
          <w:sz w:val="21"/>
          <w:szCs w:val="21"/>
        </w:rPr>
        <w:t xml:space="preserve"> Lead time, stay length and distance must be bucketed or embedded as scalars; threshold information is partly lost.</w:t>
      </w:r>
    </w:p>
    <w:p>
      <w:pPr>
        <w:pStyle w:val="ListParagraph"/>
        <w:numPr>
          <w:ilvl w:val="0"/>
          <w:numId w:val="2"/>
        </w:numPr>
        <w:spacing w:after="60" w:line="264"/>
      </w:pPr>
      <w:r>
        <w:rPr>
          <w:rFonts w:ascii="Calibri" w:cs="Calibri" w:eastAsia="Calibri" w:hAnsi="Calibri"/>
          <w:b/>
          <w:bCs/>
          <w:sz w:val="21"/>
          <w:szCs w:val="21"/>
        </w:rPr>
        <w:t xml:space="preserve">Evidence base.</w:t>
      </w:r>
      <w:r>
        <w:rPr>
          <w:rFonts w:ascii="Calibri" w:cs="Calibri" w:eastAsia="Calibri" w:hAnsi="Calibri"/>
          <w:sz w:val="21"/>
          <w:szCs w:val="21"/>
        </w:rPr>
        <w:t xml:space="preserve"> Gains are reported on CTR benchmarks, not travel data. No independent replication is known, and differences between tuned CTR models are often small.</w:t>
      </w:r>
    </w:p>
    <w:p>
      <w:pPr>
        <w:pStyle w:val="ListParagraph"/>
        <w:numPr>
          <w:ilvl w:val="0"/>
          <w:numId w:val="2"/>
        </w:numPr>
        <w:spacing w:after="60" w:line="264"/>
      </w:pPr>
      <w:r>
        <w:rPr>
          <w:rFonts w:ascii="Calibri" w:cs="Calibri" w:eastAsia="Calibri" w:hAnsi="Calibri"/>
          <w:b/>
          <w:bCs/>
          <w:sz w:val="21"/>
          <w:szCs w:val="21"/>
        </w:rPr>
        <w:t xml:space="preserve">Cost and tuning.</w:t>
      </w:r>
      <w:r>
        <w:rPr>
          <w:rFonts w:ascii="Calibri" w:cs="Calibri" w:eastAsia="Calibri" w:hAnsi="Calibri"/>
          <w:sz w:val="21"/>
          <w:szCs w:val="21"/>
        </w:rPr>
        <w:t xml:space="preserve"> GPU recommended; more hyperparameters (graph layers, gate temperatures, NFS patience) than a tree model.</w:t>
      </w:r>
    </w:p>
    <w:p>
      <w:pPr>
        <w:pStyle w:val="ListParagraph"/>
        <w:numPr>
          <w:ilvl w:val="0"/>
          <w:numId w:val="2"/>
        </w:numPr>
        <w:spacing w:after="60" w:line="264"/>
      </w:pPr>
      <w:r>
        <w:rPr>
          <w:rFonts w:ascii="Calibri" w:cs="Calibri" w:eastAsia="Calibri" w:hAnsi="Calibri"/>
          <w:b/>
          <w:bCs/>
          <w:sz w:val="21"/>
          <w:szCs w:val="21"/>
        </w:rPr>
        <w:t xml:space="preserve">Code maturity.</w:t>
      </w:r>
      <w:r>
        <w:rPr>
          <w:rFonts w:ascii="Calibri" w:cs="Calibri" w:eastAsia="Calibri" w:hAnsi="Calibri"/>
          <w:sz w:val="21"/>
          <w:szCs w:val="21"/>
        </w:rPr>
        <w:t xml:space="preserve"> Small repository with short documentation; running it relies on FuxiCTR conventions.</w:t>
      </w:r>
    </w:p>
    <w:p>
      <w:pPr>
        <w:pStyle w:val="Heading2"/>
        <w:keepNext/>
        <w:keepLines/>
        <w:spacing w:after="80" w:before="200"/>
      </w:pPr>
      <w:r>
        <w:rPr>
          <w:rFonts w:ascii="Calibri" w:cs="Calibri" w:eastAsia="Calibri" w:hAnsi="Calibri"/>
        </w:rPr>
        <w:t xml:space="preserve">3.5 Fit with Expedia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4819"/>
        <w:gridCol w:w="1607"/>
      </w:tblGrid>
      <w:tr>
        <w:trPr>
          <w:cantSplit/>
          <w:tblHeader/>
        </w:trPr>
        <w:tc>
          <w:tcPr>
            <w:tcW w:type="dxa" w:w="3212"/>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Expedia property</w:t>
            </w:r>
          </w:p>
        </w:tc>
        <w:tc>
          <w:tcPr>
            <w:tcW w:type="dxa" w:w="4819"/>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AdaGIN response</w:t>
            </w:r>
          </w:p>
        </w:tc>
        <w:tc>
          <w:tcPr>
            <w:tcW w:type="dxa" w:w="1607"/>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Fit</w:t>
            </w:r>
          </w:p>
        </w:tc>
      </w:tr>
      <w:tr>
        <w:trPr>
          <w:cantSplit/>
          <w:tblHeader w:val="false"/>
        </w:trPr>
        <w:tc>
          <w:tcPr>
            <w:tcW w:type="dxa" w:w="321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Context dominates; interactions carry season and party</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GFIM and MFIM model field interactions explicitly, including cluster × destination × month</w:t>
            </w:r>
          </w:p>
        </w:tc>
        <w:tc>
          <w:tcPr>
            <w:tcW w:type="dxa" w:w="160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High</w:t>
            </w:r>
          </w:p>
        </w:tc>
      </w:tr>
      <w:tr>
        <w:trPr>
          <w:cantSplit/>
          <w:tblHeader w:val="false"/>
        </w:trPr>
        <w:tc>
          <w:tcPr>
            <w:tcW w:type="dxa" w:w="321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Destination: 59,455 values, heavy singleton tail</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Embedding with minimum-count out-of-vocabulary bucket; market shares signal through the graph</w:t>
            </w:r>
          </w:p>
        </w:tc>
        <w:tc>
          <w:tcPr>
            <w:tcW w:type="dxa" w:w="160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High</w:t>
            </w:r>
          </w:p>
        </w:tc>
      </w:tr>
      <w:tr>
        <w:trPr>
          <w:cantSplit/>
          <w:tblHeader w:val="false"/>
        </w:trPr>
        <w:tc>
          <w:tcPr>
            <w:tcW w:type="dxa" w:w="321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30.14% cold test users</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User ID excluded; ranking from context and optional history field</w:t>
            </w:r>
          </w:p>
        </w:tc>
        <w:tc>
          <w:tcPr>
            <w:tcW w:type="dxa" w:w="160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High</w:t>
            </w:r>
          </w:p>
        </w:tc>
      </w:tr>
      <w:tr>
        <w:trPr>
          <w:cantSplit/>
          <w:tblHeader w:val="false"/>
        </w:trPr>
        <w:tc>
          <w:tcPr>
            <w:tcW w:type="dxa" w:w="321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100-cluster closed item set</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Cluster is one field; exhaustive scoring of 100 rows per event is affordable</w:t>
            </w:r>
          </w:p>
        </w:tc>
        <w:tc>
          <w:tcPr>
            <w:tcW w:type="dxa" w:w="160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Medium (cost of expansion)</w:t>
            </w:r>
          </w:p>
        </w:tc>
      </w:tr>
      <w:tr>
        <w:trPr>
          <w:cantSplit/>
          <w:tblHeader w:val="false"/>
        </w:trPr>
        <w:tc>
          <w:tcPr>
            <w:tcW w:type="dxa" w:w="321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Numeric trip context, 33.83% missing distance</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Bucketing plus a missingness indicator field</w:t>
            </w:r>
          </w:p>
        </w:tc>
        <w:tc>
          <w:tcPr>
            <w:tcW w:type="dxa" w:w="160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Medium</w:t>
            </w:r>
          </w:p>
        </w:tc>
      </w:tr>
      <w:tr>
        <w:trPr>
          <w:cantSplit/>
          <w:tblHeader w:val="false"/>
        </w:trPr>
        <w:tc>
          <w:tcPr>
            <w:tcW w:type="dxa" w:w="321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Short history (median 2)</w:t>
            </w:r>
          </w:p>
        </w:tc>
        <w:tc>
          <w:tcPr>
            <w:tcW w:type="dxa" w:w="4819"/>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Last booked clusters enter as an unordered history field</w:t>
            </w:r>
          </w:p>
        </w:tc>
        <w:tc>
          <w:tcPr>
            <w:tcW w:type="dxa" w:w="160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Medium</w:t>
            </w:r>
          </w:p>
        </w:tc>
      </w:tr>
    </w:tbl>
    <w:p>
      <w:pPr>
        <w:pStyle w:val="Heading2"/>
        <w:keepNext/>
        <w:keepLines/>
        <w:spacing w:after="80" w:before="200"/>
      </w:pPr>
      <w:r>
        <w:rPr>
          <w:rFonts w:ascii="Calibri" w:cs="Calibri" w:eastAsia="Calibri" w:hAnsi="Calibri"/>
        </w:rPr>
        <w:t xml:space="preserve">3.6 Application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Element</w:t>
            </w:r>
          </w:p>
        </w:tc>
        <w:tc>
          <w:tcPr>
            <w:tcW w:type="dxa" w:w="7497"/>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Specification</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Row unit</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One row per (search event, candidate cluster); label 1 for the booked cluster</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Training rows</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All positives plus sampled negative clusters per event (sample size fixed on validation)</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Evaluation</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All 100 clusters scored per test event; full ranking, no sampled metrics</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Fields</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Party (adults, children, rooms, party type), lead time, stay length, check-in month and weekday, package, channel, mobile, site, distance bucket and missingness, destination, destination type, market, country, continent, user location, cluster ID</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Cluster-side fields</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Cluster share within destination and within market, computed on training data only</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History field</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Clusters booked before the event (unordered); empty for cold users</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Validation</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Quarter preceding the test window; three seeds minimum</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Ablation</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Remove one context group at a time; run with and without NFS</w:t>
            </w:r>
          </w:p>
        </w:tc>
      </w:tr>
    </w:tbl>
    <w:p>
      <w:pPr>
        <w:pStyle w:val="Heading1"/>
        <w:keepNext/>
        <w:keepLines/>
        <w:spacing w:after="120" w:before="280"/>
      </w:pPr>
      <w:r>
        <w:rPr>
          <w:rFonts w:ascii="Calibri" w:cs="Calibri" w:eastAsia="Calibri" w:hAnsi="Calibri"/>
        </w:rPr>
        <w:t xml:space="preserve">4. SMLP4Rec — secondary methodology</w:t>
      </w:r>
    </w:p>
    <w:p>
      <w:pPr>
        <w:pStyle w:val="Heading2"/>
        <w:keepNext/>
        <w:keepLines/>
        <w:spacing w:after="80" w:before="200"/>
      </w:pPr>
      <w:r>
        <w:rPr>
          <w:rFonts w:ascii="Calibri" w:cs="Calibri" w:eastAsia="Calibri" w:hAnsi="Calibri"/>
        </w:rPr>
        <w:t xml:space="preserve">4.1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Item</w:t>
            </w:r>
          </w:p>
        </w:tc>
        <w:tc>
          <w:tcPr>
            <w:tcW w:type="dxa" w:w="7497"/>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Detail</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Paper</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J. Gao, X. Zhao, M. Li, M. Zhao, R. Wu, R. Guo, Y. Liu, D. Yin. SMLP4Rec: An Efficient All-MLP Architecture for Sequential Recommendations. ACM Transactions on Information Systems, 2024</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Code</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github.com/Applied-Machine-Learning-Lab/SMLP4Rec, one model file on RecBole 1.0; no licence file observed</w:t>
            </w:r>
          </w:p>
        </w:tc>
      </w:tr>
      <w:tr>
        <w:trPr>
          <w:cantSplit/>
          <w:tblHeader w:val="false"/>
        </w:trPr>
        <w:tc>
          <w:tcPr>
            <w:tcW w:type="dxa" w:w="21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Task type</w:t>
            </w:r>
          </w:p>
        </w:tc>
        <w:tc>
          <w:tcPr>
            <w:tcW w:type="dxa" w:w="749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Next-item prediction from a user's ordered item sequence; supports full softmax loss</w:t>
            </w:r>
          </w:p>
        </w:tc>
      </w:tr>
    </w:tbl>
    <w:p>
      <w:pPr>
        <w:pStyle w:val="Heading2"/>
        <w:keepNext/>
        <w:keepLines/>
        <w:spacing w:after="80" w:before="200"/>
      </w:pPr>
      <w:r>
        <w:rPr>
          <w:rFonts w:ascii="Calibri" w:cs="Calibri" w:eastAsia="Calibri" w:hAnsi="Calibri"/>
        </w:rPr>
        <w:t xml:space="preserve">4.2 General principle</w:t>
      </w:r>
    </w:p>
    <w:p>
      <w:pPr>
        <w:spacing w:after="100" w:line="276"/>
        <w:jc w:val="both"/>
      </w:pPr>
      <w:r>
        <w:rPr>
          <w:rFonts w:ascii="Calibri" w:cs="Calibri" w:eastAsia="Calibri" w:hAnsi="Calibri"/>
          <w:sz w:val="21"/>
          <w:szCs w:val="21"/>
        </w:rPr>
        <w:t xml:space="preserve">Each position of the user sequence holds the item embedding plus embeddings of its side features, forming a three-axis block (feature × position × hidden). Three MLPs mix the block along each axis in parallel — across features, across sequence positions, and across hidden channels — and their outputs are summed. The representation at the last real position is scored against all item embeddings. The design replaces self-attention with MLPs to cut computation.</w:t>
      </w:r>
    </w:p>
    <w:p>
      <w:pPr>
        <w:pStyle w:val="Heading2"/>
        <w:keepNext/>
        <w:keepLines/>
        <w:spacing w:after="80" w:before="200"/>
      </w:pPr>
      <w:r>
        <w:rPr>
          <w:rFonts w:ascii="Calibri" w:cs="Calibri" w:eastAsia="Calibri" w:hAnsi="Calibri"/>
        </w:rPr>
        <w:t xml:space="preserve">4.3 Strengths</w:t>
      </w:r>
    </w:p>
    <w:p>
      <w:pPr>
        <w:pStyle w:val="ListParagraph"/>
        <w:numPr>
          <w:ilvl w:val="0"/>
          <w:numId w:val="2"/>
        </w:numPr>
        <w:spacing w:after="60" w:line="264"/>
      </w:pPr>
      <w:r>
        <w:rPr>
          <w:rFonts w:ascii="Calibri" w:cs="Calibri" w:eastAsia="Calibri" w:hAnsi="Calibri"/>
          <w:sz w:val="21"/>
          <w:szCs w:val="21"/>
        </w:rPr>
        <w:t xml:space="preserve">Only journal-published candidate that combines sequence and side features with public code.</w:t>
      </w:r>
    </w:p>
    <w:p>
      <w:pPr>
        <w:pStyle w:val="ListParagraph"/>
        <w:numPr>
          <w:ilvl w:val="0"/>
          <w:numId w:val="2"/>
        </w:numPr>
        <w:spacing w:after="60" w:line="264"/>
      </w:pPr>
      <w:r>
        <w:rPr>
          <w:rFonts w:ascii="Calibri" w:cs="Calibri" w:eastAsia="Calibri" w:hAnsi="Calibri"/>
          <w:sz w:val="21"/>
          <w:szCs w:val="21"/>
        </w:rPr>
        <w:t xml:space="preserve">Full softmax over 100 clusters matches the ranking task; no negative sampling needed.</w:t>
      </w:r>
    </w:p>
    <w:p>
      <w:pPr>
        <w:pStyle w:val="ListParagraph"/>
        <w:numPr>
          <w:ilvl w:val="0"/>
          <w:numId w:val="2"/>
        </w:numPr>
        <w:spacing w:after="60" w:line="264"/>
      </w:pPr>
      <w:r>
        <w:rPr>
          <w:rFonts w:ascii="Calibri" w:cs="Calibri" w:eastAsia="Calibri" w:hAnsi="Calibri"/>
          <w:sz w:val="21"/>
          <w:szCs w:val="21"/>
        </w:rPr>
        <w:t xml:space="preserve">Light model; CPU training is feasible with short sequences.</w:t>
      </w:r>
    </w:p>
    <w:p>
      <w:pPr>
        <w:pStyle w:val="ListParagraph"/>
        <w:numPr>
          <w:ilvl w:val="0"/>
          <w:numId w:val="2"/>
        </w:numPr>
        <w:spacing w:after="60" w:line="264"/>
      </w:pPr>
      <w:r>
        <w:rPr>
          <w:rFonts w:ascii="Calibri" w:cs="Calibri" w:eastAsia="Calibri" w:hAnsi="Calibri"/>
          <w:sz w:val="21"/>
          <w:szCs w:val="21"/>
        </w:rPr>
        <w:t xml:space="preserve">Runs in RecBole, which also provides GRU4Rec and SASRec under the same pipeline.</w:t>
      </w:r>
    </w:p>
    <w:p>
      <w:pPr>
        <w:pStyle w:val="Heading2"/>
        <w:keepNext/>
        <w:keepLines/>
        <w:spacing w:after="80" w:before="200"/>
      </w:pPr>
      <w:r>
        <w:rPr>
          <w:rFonts w:ascii="Calibri" w:cs="Calibri" w:eastAsia="Calibri" w:hAnsi="Calibri"/>
        </w:rPr>
        <w:t xml:space="preserve">4.4 Weaknesses and limitations</w:t>
      </w:r>
    </w:p>
    <w:p>
      <w:pPr>
        <w:pStyle w:val="ListParagraph"/>
        <w:numPr>
          <w:ilvl w:val="0"/>
          <w:numId w:val="2"/>
        </w:numPr>
        <w:spacing w:after="60" w:line="264"/>
      </w:pPr>
      <w:r>
        <w:rPr>
          <w:rFonts w:ascii="Calibri" w:cs="Calibri" w:eastAsia="Calibri" w:hAnsi="Calibri"/>
          <w:b/>
          <w:bCs/>
          <w:sz w:val="21"/>
          <w:szCs w:val="21"/>
        </w:rPr>
        <w:t xml:space="preserve">No current context.</w:t>
      </w:r>
      <w:r>
        <w:rPr>
          <w:rFonts w:ascii="Calibri" w:cs="Calibri" w:eastAsia="Calibri" w:hAnsi="Calibri"/>
          <w:sz w:val="21"/>
          <w:szCs w:val="21"/>
        </w:rPr>
        <w:t xml:space="preserve"> The original model predicts from history only; it does not see the destination of the current search, which is the strongest signal.</w:t>
      </w:r>
    </w:p>
    <w:p>
      <w:pPr>
        <w:pStyle w:val="ListParagraph"/>
        <w:numPr>
          <w:ilvl w:val="0"/>
          <w:numId w:val="2"/>
        </w:numPr>
        <w:spacing w:after="60" w:line="264"/>
      </w:pPr>
      <w:r>
        <w:rPr>
          <w:rFonts w:ascii="Calibri" w:cs="Calibri" w:eastAsia="Calibri" w:hAnsi="Calibri"/>
          <w:b/>
          <w:bCs/>
          <w:sz w:val="21"/>
          <w:szCs w:val="21"/>
        </w:rPr>
        <w:t xml:space="preserve">Item-level features only.</w:t>
      </w:r>
      <w:r>
        <w:rPr>
          <w:rFonts w:ascii="Calibri" w:cs="Calibri" w:eastAsia="Calibri" w:hAnsi="Calibri"/>
          <w:sz w:val="21"/>
          <w:szCs w:val="21"/>
        </w:rPr>
        <w:t xml:space="preserve"> Side features are looked up by item ID. Per-booking context (destination, month, party) cannot enter without code changes.</w:t>
      </w:r>
    </w:p>
    <w:p>
      <w:pPr>
        <w:pStyle w:val="ListParagraph"/>
        <w:numPr>
          <w:ilvl w:val="0"/>
          <w:numId w:val="2"/>
        </w:numPr>
        <w:spacing w:after="60" w:line="264"/>
      </w:pPr>
      <w:r>
        <w:rPr>
          <w:rFonts w:ascii="Calibri" w:cs="Calibri" w:eastAsia="Calibri" w:hAnsi="Calibri"/>
          <w:b/>
          <w:bCs/>
          <w:sz w:val="21"/>
          <w:szCs w:val="21"/>
        </w:rPr>
        <w:t xml:space="preserve">Short sequences.</w:t>
      </w:r>
      <w:r>
        <w:rPr>
          <w:rFonts w:ascii="Calibri" w:cs="Calibri" w:eastAsia="Calibri" w:hAnsi="Calibri"/>
          <w:sz w:val="21"/>
          <w:szCs w:val="21"/>
        </w:rPr>
        <w:t xml:space="preserve"> With a median of two bookings, most of the fixed-length window is padding; the sequence mixer has little order to learn.</w:t>
      </w:r>
    </w:p>
    <w:p>
      <w:pPr>
        <w:pStyle w:val="ListParagraph"/>
        <w:numPr>
          <w:ilvl w:val="0"/>
          <w:numId w:val="2"/>
        </w:numPr>
        <w:spacing w:after="60" w:line="264"/>
      </w:pPr>
      <w:r>
        <w:rPr>
          <w:rFonts w:ascii="Calibri" w:cs="Calibri" w:eastAsia="Calibri" w:hAnsi="Calibri"/>
          <w:b/>
          <w:bCs/>
          <w:sz w:val="21"/>
          <w:szCs w:val="21"/>
        </w:rPr>
        <w:t xml:space="preserve">Cold users.</w:t>
      </w:r>
      <w:r>
        <w:rPr>
          <w:rFonts w:ascii="Calibri" w:cs="Calibri" w:eastAsia="Calibri" w:hAnsi="Calibri"/>
          <w:sz w:val="21"/>
          <w:szCs w:val="21"/>
        </w:rPr>
        <w:t xml:space="preserve"> A user without history has no sequence and needs a fallback.</w:t>
      </w:r>
    </w:p>
    <w:p>
      <w:pPr>
        <w:pStyle w:val="ListParagraph"/>
        <w:numPr>
          <w:ilvl w:val="0"/>
          <w:numId w:val="2"/>
        </w:numPr>
        <w:spacing w:after="60" w:line="264"/>
      </w:pPr>
      <w:r>
        <w:rPr>
          <w:rFonts w:ascii="Calibri" w:cs="Calibri" w:eastAsia="Calibri" w:hAnsi="Calibri"/>
          <w:b/>
          <w:bCs/>
          <w:sz w:val="21"/>
          <w:szCs w:val="21"/>
        </w:rPr>
        <w:t xml:space="preserve">Code quality.</w:t>
      </w:r>
      <w:r>
        <w:rPr>
          <w:rFonts w:ascii="Calibri" w:cs="Calibri" w:eastAsia="Calibri" w:hAnsi="Calibri"/>
          <w:sz w:val="21"/>
          <w:szCs w:val="21"/>
        </w:rPr>
        <w:t xml:space="preserve"> Sequence length fixed at 50 in code, a single mixing block reused across layers without residual connection, no padding mask, unused classes, RecBole 1.0 dependency.</w:t>
      </w:r>
    </w:p>
    <w:p>
      <w:pPr>
        <w:pStyle w:val="ListParagraph"/>
        <w:numPr>
          <w:ilvl w:val="0"/>
          <w:numId w:val="2"/>
        </w:numPr>
        <w:spacing w:after="60" w:line="264"/>
      </w:pPr>
      <w:r>
        <w:rPr>
          <w:rFonts w:ascii="Calibri" w:cs="Calibri" w:eastAsia="Calibri" w:hAnsi="Calibri"/>
          <w:b/>
          <w:bCs/>
          <w:sz w:val="21"/>
          <w:szCs w:val="21"/>
        </w:rPr>
        <w:t xml:space="preserve">Licence.</w:t>
      </w:r>
      <w:r>
        <w:rPr>
          <w:rFonts w:ascii="Calibri" w:cs="Calibri" w:eastAsia="Calibri" w:hAnsi="Calibri"/>
          <w:sz w:val="21"/>
          <w:szCs w:val="21"/>
        </w:rPr>
        <w:t xml:space="preserve"> No licence file observed; copying code into this repository requires confirmation.</w:t>
      </w:r>
    </w:p>
    <w:p>
      <w:pPr>
        <w:pStyle w:val="Heading2"/>
        <w:keepNext/>
        <w:keepLines/>
        <w:spacing w:after="80" w:before="200"/>
      </w:pPr>
      <w:r>
        <w:rPr>
          <w:rFonts w:ascii="Calibri" w:cs="Calibri" w:eastAsia="Calibri" w:hAnsi="Calibri"/>
        </w:rPr>
        <w:t xml:space="preserve">4.5 Fit with Expedia and required changes</w:t>
      </w:r>
    </w:p>
    <w:p>
      <w:pPr>
        <w:spacing w:after="100" w:line="276"/>
        <w:jc w:val="both"/>
      </w:pPr>
      <w:r>
        <w:rPr>
          <w:rFonts w:ascii="Calibri" w:cs="Calibri" w:eastAsia="Calibri" w:hAnsi="Calibri"/>
          <w:sz w:val="21"/>
          <w:szCs w:val="21"/>
        </w:rPr>
        <w:t xml:space="preserve">As published, SMLP4Rec fits poorly: it ignores current trip context and fails on cold users. Two changes make it a valid comparator: (1) per-position context features for each past booking; (2) a query token for the current search holding its context, from which the prediction is made. With the query token, cold users are ranked from context alone. Both versions are run so that the effect of the changes is measured. The changes are this study's adaptation and are reported as such.</w:t>
      </w:r>
    </w:p>
    <w:p>
      <w:pPr>
        <w:pStyle w:val="Heading1"/>
        <w:keepNext/>
        <w:keepLines/>
        <w:spacing w:after="120" w:before="280"/>
      </w:pPr>
      <w:r>
        <w:rPr>
          <w:rFonts w:ascii="Calibri" w:cs="Calibri" w:eastAsia="Calibri" w:hAnsi="Calibri"/>
        </w:rPr>
        <w:t xml:space="preserve">5.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570"/>
        <w:gridCol w:w="2570"/>
        <w:gridCol w:w="2571"/>
      </w:tblGrid>
      <w:tr>
        <w:trPr>
          <w:cantSplit/>
          <w:tblHeader/>
        </w:trPr>
        <w:tc>
          <w:tcPr>
            <w:tcW w:type="dxa" w:w="1927"/>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Dimension</w:t>
            </w:r>
          </w:p>
        </w:tc>
        <w:tc>
          <w:tcPr>
            <w:tcW w:type="dxa" w:w="2570"/>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AdaGIN (primary)</w:t>
            </w:r>
          </w:p>
        </w:tc>
        <w:tc>
          <w:tcPr>
            <w:tcW w:type="dxa" w:w="2570"/>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SMLP4Rec (secondary)</w:t>
            </w:r>
          </w:p>
        </w:tc>
        <w:tc>
          <w:tcPr>
            <w:tcW w:type="dxa" w:w="2571"/>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LightGBM (baseline)</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Venue</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ACM TOIS 2024</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ACM TOIS 2024</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NeurIPS 2017</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Code</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Authors', FuxiCTR, Apache-2.0</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Authors', RecBole 1.0, no licence file</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Mature library</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Signal used</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Current trip context</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Ordered booking history (+ context after change)</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Current context and engineered history</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Row unit</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100 rows per event</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One sequence prefix per booking</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One row per event (multiclass)</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Interactions</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Explicit, sample-adaptive</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Mixing across feature axis</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Implicit via tree splits</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Destination (59,455 values)</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Embedding</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Embedding (after change)</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Thresholded target encoding</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Numeric fields</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Bucketed</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Bucketed</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Native</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Cold users</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Native</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Only with query token</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Native</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Loss vs metric</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Pointwise BCE</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Full softmax</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Full softmax</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Attribution</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Gates, adjacency, ablation</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Ablation only</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SHAP, ablation</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Compute</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GPU recommended</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CPU feasible</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CPU</w:t>
            </w:r>
          </w:p>
        </w:tc>
      </w:tr>
      <w:tr>
        <w:trPr>
          <w:cantSplit/>
          <w:tblHeader w:val="false"/>
        </w:trPr>
        <w:tc>
          <w:tcPr>
            <w:tcW w:type="dxa" w:w="1927"/>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Main risk</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Expansion cost; small gain over DCNv2</w:t>
            </w:r>
          </w:p>
        </w:tc>
        <w:tc>
          <w:tcPr>
            <w:tcW w:type="dxa" w:w="257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Short sequences; code changes</w:t>
            </w:r>
          </w:p>
        </w:tc>
        <w:tc>
          <w:tcPr>
            <w:tcW w:type="dxa" w:w="257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Leakage in target encoding</w:t>
            </w:r>
          </w:p>
        </w:tc>
      </w:tr>
    </w:tbl>
    <w:p>
      <w:pPr>
        <w:pStyle w:val="Heading1"/>
        <w:keepNext/>
        <w:keepLines/>
        <w:spacing w:after="120" w:before="280"/>
      </w:pPr>
      <w:r>
        <w:rPr>
          <w:rFonts w:ascii="Calibri" w:cs="Calibri" w:eastAsia="Calibri" w:hAnsi="Calibri"/>
        </w:rPr>
        <w:t xml:space="preserve">6. Conclusion</w:t>
      </w:r>
    </w:p>
    <w:p>
      <w:pPr>
        <w:pStyle w:val="Heading2"/>
        <w:keepNext/>
        <w:keepLines/>
        <w:spacing w:after="80" w:before="200"/>
      </w:pPr>
      <w:r>
        <w:rPr>
          <w:rFonts w:ascii="Calibri" w:cs="Calibri" w:eastAsia="Calibri" w:hAnsi="Calibri"/>
        </w:rPr>
        <w:t xml:space="preserve">6.1 Selection</w:t>
      </w:r>
    </w:p>
    <w:p>
      <w:pPr>
        <w:spacing w:after="100" w:line="276"/>
        <w:jc w:val="both"/>
      </w:pPr>
      <w:r>
        <w:rPr>
          <w:rFonts w:ascii="Calibri" w:cs="Calibri" w:eastAsia="Calibri" w:hAnsi="Calibri"/>
          <w:sz w:val="21"/>
          <w:szCs w:val="21"/>
        </w:rPr>
        <w:t xml:space="preserve">AdaGIN is selected as the primary methodology. It meets the publication and code criteria and is the candidate whose mechanism — explicit, sample-adaptive interaction among context fields with embedded high-cardinality inputs — corresponds most directly to the measured structure of the data. SMLP4Rec is retained as the secondary methodology to test whether ordered booking history adds information beyond context. LightGBM is the tabular baseline, trained on the same features and tuning budget. LLM reranking is a second-stage experiment over the top 20 of the best first-stage model, on a stratified subsample.</w:t>
      </w:r>
    </w:p>
    <w:p>
      <w:pPr>
        <w:pStyle w:val="Heading2"/>
        <w:keepNext/>
        <w:keepLines/>
        <w:spacing w:after="80" w:before="200"/>
      </w:pPr>
      <w:r>
        <w:rPr>
          <w:rFonts w:ascii="Calibri" w:cs="Calibri" w:eastAsia="Calibri" w:hAnsi="Calibri"/>
        </w:rPr>
        <w:t xml:space="preserve">6.2 Validity reference points (Recall@5, test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Reference</w:t>
            </w:r>
          </w:p>
        </w:tc>
        <w:tc>
          <w:tcPr>
            <w:tcW w:type="dxa" w:w="1542"/>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Recall@5</w:t>
            </w:r>
          </w:p>
        </w:tc>
        <w:tc>
          <w:tcPr>
            <w:tcW w:type="dxa" w:w="4241"/>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Use</w:t>
            </w:r>
          </w:p>
        </w:tc>
      </w:tr>
      <w:tr>
        <w:trPr>
          <w:cantSplit/>
          <w:tblHeader w:val="false"/>
        </w:trPr>
        <w:tc>
          <w:tcPr>
            <w:tcW w:type="dxa" w:w="3855"/>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Global frequency</w:t>
            </w:r>
          </w:p>
        </w:tc>
        <w:tc>
          <w:tcPr>
            <w:tcW w:type="dxa" w:w="154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14.06%</w:t>
            </w:r>
          </w:p>
        </w:tc>
        <w:tc>
          <w:tcPr>
            <w:tcW w:type="dxa" w:w="42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Below this: implementation error</w:t>
            </w:r>
          </w:p>
        </w:tc>
      </w:tr>
      <w:tr>
        <w:trPr>
          <w:cantSplit/>
          <w:tblHeader w:val="false"/>
        </w:trPr>
        <w:tc>
          <w:tcPr>
            <w:tcW w:type="dxa" w:w="3855"/>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Repeat last cluster</w:t>
            </w:r>
          </w:p>
        </w:tc>
        <w:tc>
          <w:tcPr>
            <w:tcW w:type="dxa" w:w="154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16.82%</w:t>
            </w:r>
          </w:p>
        </w:tc>
        <w:tc>
          <w:tcPr>
            <w:tcW w:type="dxa" w:w="42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Bound of repetition alone</w:t>
            </w:r>
          </w:p>
        </w:tc>
      </w:tr>
      <w:tr>
        <w:trPr>
          <w:cantSplit/>
          <w:tblHeader w:val="false"/>
        </w:trPr>
        <w:tc>
          <w:tcPr>
            <w:tcW w:type="dxa" w:w="3855"/>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Destination × check-in month frequency</w:t>
            </w:r>
          </w:p>
        </w:tc>
        <w:tc>
          <w:tcPr>
            <w:tcW w:type="dxa" w:w="154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46.55%</w:t>
            </w:r>
          </w:p>
        </w:tc>
        <w:tc>
          <w:tcPr>
            <w:tcW w:type="dxa" w:w="42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Fragmentation loss to recover</w:t>
            </w:r>
          </w:p>
        </w:tc>
      </w:tr>
      <w:tr>
        <w:trPr>
          <w:cantSplit/>
          <w:tblHeader w:val="false"/>
        </w:trPr>
        <w:tc>
          <w:tcPr>
            <w:tcW w:type="dxa" w:w="3855"/>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Destination frequency</w:t>
            </w:r>
          </w:p>
        </w:tc>
        <w:tc>
          <w:tcPr>
            <w:tcW w:type="dxa" w:w="1542"/>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53.07%</w:t>
            </w:r>
          </w:p>
        </w:tc>
        <w:tc>
          <w:tcPr>
            <w:tcW w:type="dxa" w:w="4241"/>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Threshold a learned model must exceed</w:t>
            </w:r>
          </w:p>
        </w:tc>
      </w:tr>
    </w:tbl>
    <w:p>
      <w:pPr>
        <w:pStyle w:val="Heading2"/>
        <w:keepNext/>
        <w:keepLines/>
        <w:spacing w:after="80" w:before="200"/>
      </w:pPr>
      <w:r>
        <w:rPr>
          <w:rFonts w:ascii="Calibri" w:cs="Calibri" w:eastAsia="Calibri" w:hAnsi="Calibri"/>
        </w:rPr>
        <w:t xml:space="preserve">6.3 Conditions for revision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Condition</w:t>
            </w:r>
          </w:p>
        </w:tc>
        <w:tc>
          <w:tcPr>
            <w:tcW w:type="dxa" w:w="5355"/>
            <w:tcBorders>
              <w:top w:val="single" w:color="B8C2CF" w:sz="4"/>
              <w:left w:val="single" w:color="B8C2CF" w:sz="4"/>
              <w:bottom w:val="single" w:color="B8C2CF" w:sz="4"/>
              <w:right w:val="single" w:color="B8C2CF" w:sz="4"/>
            </w:tcBorders>
            <w:shd w:fill="E8EEF6" w:color="auto" w:val="clear"/>
            <w:tcMar>
              <w:top w:type="dxa" w:w="60"/>
              <w:left w:type="dxa" w:w="100"/>
              <w:bottom w:type="dxa" w:w="60"/>
              <w:right w:type="dxa" w:w="100"/>
            </w:tcMar>
          </w:tcPr>
          <w:p>
            <w:pPr>
              <w:spacing w:after="20"/>
            </w:pPr>
            <w:r>
              <w:rPr>
                <w:rFonts w:ascii="Calibri" w:cs="Calibri" w:eastAsia="Calibri" w:hAnsi="Calibri"/>
                <w:b/>
                <w:bCs/>
                <w:sz w:val="19"/>
                <w:szCs w:val="19"/>
              </w:rPr>
              <w:t xml:space="preserve">Action</w:t>
            </w:r>
          </w:p>
        </w:tc>
      </w:tr>
      <w:tr>
        <w:trPr>
          <w:cantSplit/>
          <w:tblHeader w:val="false"/>
        </w:trPr>
        <w:tc>
          <w:tcPr>
            <w:tcW w:type="dxa" w:w="428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AdaGIN does not exceed 53.07% Recall@5 after tuning</w:t>
            </w:r>
          </w:p>
        </w:tc>
        <w:tc>
          <w:tcPr>
            <w:tcW w:type="dxa" w:w="5355"/>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Report as a finding; LightGBM becomes the reference model</w:t>
            </w:r>
          </w:p>
        </w:tc>
      </w:tr>
      <w:tr>
        <w:trPr>
          <w:cantSplit/>
          <w:tblHeader w:val="false"/>
        </w:trPr>
        <w:tc>
          <w:tcPr>
            <w:tcW w:type="dxa" w:w="428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SMLP4Rec changes not working within 1.5 days</w:t>
            </w:r>
          </w:p>
        </w:tc>
        <w:tc>
          <w:tcPr>
            <w:tcW w:type="dxa" w:w="5355"/>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Replace with GRU4Rec or SASRec from RecBole; keep SMLP4Rec in discussion only</w:t>
            </w:r>
          </w:p>
        </w:tc>
      </w:tr>
      <w:tr>
        <w:trPr>
          <w:cantSplit/>
          <w:tblHeader w:val="false"/>
        </w:trPr>
        <w:tc>
          <w:tcPr>
            <w:tcW w:type="dxa" w:w="428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Shuffling user histories leaves SMLP4Rec accuracy unchanged</w:t>
            </w:r>
          </w:p>
        </w:tc>
        <w:tc>
          <w:tcPr>
            <w:tcW w:type="dxa" w:w="5355"/>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20"/>
            </w:pPr>
            <w:r>
              <w:rPr>
                <w:rFonts w:ascii="Calibri" w:cs="Calibri" w:eastAsia="Calibri" w:hAnsi="Calibri"/>
                <w:sz w:val="19"/>
                <w:szCs w:val="19"/>
              </w:rPr>
              <w:t xml:space="preserve">Conclude that booking order carries no signal on this data [6]</w:t>
            </w:r>
          </w:p>
        </w:tc>
      </w:tr>
    </w:tbl>
    <w:p>
      <w:pPr>
        <w:pStyle w:val="Heading1"/>
        <w:keepNext/>
        <w:keepLines/>
        <w:spacing w:after="120" w:before="280"/>
      </w:pPr>
      <w:r>
        <w:rPr>
          <w:rFonts w:ascii="Calibri" w:cs="Calibri" w:eastAsia="Calibri" w:hAnsi="Calibri"/>
        </w:rPr>
        <w:t xml:space="preserve">7. Limitations</w:t>
      </w:r>
    </w:p>
    <w:p>
      <w:pPr>
        <w:pStyle w:val="ListParagraph"/>
        <w:numPr>
          <w:ilvl w:val="0"/>
          <w:numId w:val="2"/>
        </w:numPr>
        <w:spacing w:after="60" w:line="264"/>
      </w:pPr>
      <w:r>
        <w:rPr>
          <w:rFonts w:ascii="Calibri" w:cs="Calibri" w:eastAsia="Calibri" w:hAnsi="Calibri"/>
          <w:sz w:val="21"/>
          <w:szCs w:val="21"/>
        </w:rPr>
        <w:t xml:space="preserve">A hotel cluster is an anonymous proxy for room category or package; business conclusions inherit this proxy.</w:t>
      </w:r>
    </w:p>
    <w:p>
      <w:pPr>
        <w:pStyle w:val="ListParagraph"/>
        <w:numPr>
          <w:ilvl w:val="0"/>
          <w:numId w:val="2"/>
        </w:numPr>
        <w:spacing w:after="60" w:line="264"/>
      </w:pPr>
      <w:r>
        <w:rPr>
          <w:rFonts w:ascii="Calibri" w:cs="Calibri" w:eastAsia="Calibri" w:hAnsi="Calibri"/>
          <w:sz w:val="21"/>
          <w:szCs w:val="21"/>
        </w:rPr>
        <w:t xml:space="preserve">AdaGIN evidence comes from CTR benchmarks; its performance on travel booking data is untested.</w:t>
      </w:r>
    </w:p>
    <w:p>
      <w:pPr>
        <w:pStyle w:val="ListParagraph"/>
        <w:numPr>
          <w:ilvl w:val="0"/>
          <w:numId w:val="2"/>
        </w:numPr>
        <w:spacing w:after="60" w:line="264"/>
      </w:pPr>
      <w:r>
        <w:rPr>
          <w:rFonts w:ascii="Calibri" w:cs="Calibri" w:eastAsia="Calibri" w:hAnsi="Calibri"/>
          <w:sz w:val="21"/>
          <w:szCs w:val="21"/>
        </w:rPr>
        <w:t xml:space="preserve">SMLP4Rec is used in a modified form; results describe the adaptation, not the published model.</w:t>
      </w:r>
    </w:p>
    <w:p>
      <w:pPr>
        <w:pStyle w:val="ListParagraph"/>
        <w:numPr>
          <w:ilvl w:val="0"/>
          <w:numId w:val="2"/>
        </w:numPr>
        <w:spacing w:after="60" w:line="264"/>
      </w:pPr>
      <w:r>
        <w:rPr>
          <w:rFonts w:ascii="Calibri" w:cs="Calibri" w:eastAsia="Calibri" w:hAnsi="Calibri"/>
          <w:sz w:val="21"/>
          <w:szCs w:val="21"/>
        </w:rPr>
        <w:t xml:space="preserve">The Expedia competition leaderboard was affected by a leakage path through user location and origin–destination distance; published scores on this dataset are not used as targets, and that match is never constructed.</w:t>
      </w:r>
    </w:p>
    <w:p>
      <w:pPr>
        <w:pStyle w:val="ListParagraph"/>
        <w:numPr>
          <w:ilvl w:val="0"/>
          <w:numId w:val="2"/>
        </w:numPr>
        <w:spacing w:after="60" w:line="264"/>
      </w:pPr>
      <w:r>
        <w:rPr>
          <w:rFonts w:ascii="Calibri" w:cs="Calibri" w:eastAsia="Calibri" w:hAnsi="Calibri"/>
          <w:sz w:val="21"/>
          <w:szCs w:val="21"/>
        </w:rPr>
        <w:t xml:space="preserve">Dataset terms allow research use only; raw data is not redistributed.</w:t>
      </w:r>
    </w:p>
    <w:p>
      <w:pPr>
        <w:pStyle w:val="Heading1"/>
        <w:keepNext/>
        <w:keepLines/>
        <w:spacing w:after="120" w:before="280"/>
      </w:pPr>
      <w:r>
        <w:rPr>
          <w:rFonts w:ascii="Calibri" w:cs="Calibri" w:eastAsia="Calibri" w:hAnsi="Calibri"/>
        </w:rPr>
        <w:t xml:space="preserve">References</w:t>
      </w:r>
    </w:p>
    <w:p>
      <w:pPr>
        <w:spacing w:after="100" w:line="276"/>
        <w:jc w:val="left"/>
      </w:pPr>
      <w:r>
        <w:rPr>
          <w:rFonts w:ascii="Calibri" w:cs="Calibri" w:eastAsia="Calibri" w:hAnsi="Calibri"/>
          <w:sz w:val="19"/>
          <w:szCs w:val="19"/>
        </w:rPr>
        <w:t xml:space="preserve">[1] L. Sang, H. Li, Y. Zhang, Y. Zhang, Y. Yang. AdaGIN: Adaptive Graph Interaction Network for Click-Through Rate Prediction. ACM TOIS, 2024. doi:10.1145/3681785. Code: github.com/salmon1802/AdaGIN</w:t>
      </w:r>
    </w:p>
    <w:p>
      <w:pPr>
        <w:spacing w:after="100" w:line="276"/>
        <w:jc w:val="left"/>
      </w:pPr>
      <w:r>
        <w:rPr>
          <w:rFonts w:ascii="Calibri" w:cs="Calibri" w:eastAsia="Calibri" w:hAnsi="Calibri"/>
          <w:sz w:val="19"/>
          <w:szCs w:val="19"/>
        </w:rPr>
        <w:t xml:space="preserve">[2] J. Gao, X. Zhao, M. Li, M. Zhao, R. Wu, R. Guo, Y. Liu, D. Yin. SMLP4Rec: An Efficient All-MLP Architecture for Sequential Recommendations. ACM TOIS, 2024. doi:10.1145/3637871. Code: github.com/Applied-Machine-Learning-Lab/SMLP4Rec</w:t>
      </w:r>
    </w:p>
    <w:p>
      <w:pPr>
        <w:spacing w:after="100" w:line="276"/>
        <w:jc w:val="left"/>
      </w:pPr>
      <w:r>
        <w:rPr>
          <w:rFonts w:ascii="Calibri" w:cs="Calibri" w:eastAsia="Calibri" w:hAnsi="Calibri"/>
          <w:sz w:val="19"/>
          <w:szCs w:val="19"/>
        </w:rPr>
        <w:t xml:space="preserve">[3] J. Zhu et al. BARS: Towards Open Benchmarking for Recommender Systems. SIGIR, 2022. FuxiCTR: github.com/reczoo/FuxiCTR</w:t>
      </w:r>
    </w:p>
    <w:p>
      <w:pPr>
        <w:spacing w:after="100" w:line="276"/>
        <w:jc w:val="left"/>
      </w:pPr>
      <w:r>
        <w:rPr>
          <w:rFonts w:ascii="Calibri" w:cs="Calibri" w:eastAsia="Calibri" w:hAnsi="Calibri"/>
          <w:sz w:val="19"/>
          <w:szCs w:val="19"/>
        </w:rPr>
        <w:t xml:space="preserve">[4] W. X. Zhao et al. RecBole: A Unified, Comprehensive and Efficient Framework for Recommendation. github.com/RUCAIBox/RecBole</w:t>
      </w:r>
    </w:p>
    <w:p>
      <w:pPr>
        <w:spacing w:after="100" w:line="276"/>
        <w:jc w:val="left"/>
      </w:pPr>
      <w:r>
        <w:rPr>
          <w:rFonts w:ascii="Calibri" w:cs="Calibri" w:eastAsia="Calibri" w:hAnsi="Calibri"/>
          <w:sz w:val="19"/>
          <w:szCs w:val="19"/>
        </w:rPr>
        <w:t xml:space="preserve">[5] G. Ke et al. LightGBM: A Highly Efficient Gradient Boosting Decision Tree. NeurIPS, 2017</w:t>
      </w:r>
    </w:p>
    <w:p>
      <w:pPr>
        <w:spacing w:after="100" w:line="276"/>
        <w:jc w:val="left"/>
      </w:pPr>
      <w:r>
        <w:rPr>
          <w:rFonts w:ascii="Calibri" w:cs="Calibri" w:eastAsia="Calibri" w:hAnsi="Calibri"/>
          <w:sz w:val="19"/>
          <w:szCs w:val="19"/>
        </w:rPr>
        <w:t xml:space="preserve">[6] Does It Look Sequential? An Analysis of Datasets for Evaluation of Sequential Recommendations. RecSys, 2024. doi:10.1145/3640457.3688195</w:t>
      </w:r>
    </w:p>
    <w:p>
      <w:pPr>
        <w:spacing w:after="100" w:line="276"/>
        <w:jc w:val="left"/>
      </w:pPr>
      <w:r>
        <w:rPr>
          <w:rFonts w:ascii="Calibri" w:cs="Calibri" w:eastAsia="Calibri" w:hAnsi="Calibri"/>
          <w:sz w:val="19"/>
          <w:szCs w:val="19"/>
        </w:rPr>
        <w:t xml:space="preserve">[7] Y. Fan, Y. Ji, J. Zhang, A. Sun. Our Model Achieves Excellent Performance on MovieLens: What Does It Mean? ACM TOIS, 2024. doi:10.1145/3675163</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98781"/>
        <w:sz w:val="16"/>
        <w:szCs w:val="16"/>
      </w:rPr>
      <w:t xml:space="preserve">Topic C1 — Methodology selection  ·  </w:t>
    </w:r>
    <w:r>
      <w:rPr>
        <w:rFonts w:ascii="Calibri" w:cs="Calibri" w:eastAsia="Calibri" w:hAnsi="Calibri"/>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A4E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4d34774537ad6c80e59b075ca9f67d3459747a1.png"/><Relationship Id="rId9" Type="http://schemas.openxmlformats.org/officeDocument/2006/relationships/image" Target="media/9548634728fbc7bcbdc6a82cf21e58afb5939d4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2026-09-23T10:04:03.988Z</dcterms:created>
  <dcterms:modified xsi:type="dcterms:W3CDTF">2026-09-23T10:04:03.989Z</dcterms:modified>
</cp:coreProperties>
</file>

<file path=docProps/custom.xml><?xml version="1.0" encoding="utf-8"?>
<Properties xmlns="http://schemas.openxmlformats.org/officeDocument/2006/custom-properties" xmlns:vt="http://schemas.openxmlformats.org/officeDocument/2006/docPropsVTypes"/>
</file>