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2400"/>
        <w:gridCol w:w="6960"/>
        <w:tblGridChange w:id="0">
          <w:tblGrid>
            <w:gridCol w:w="2400"/>
            <w:gridCol w:w="69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 name="image2.jpg"/>
                  <a:graphic>
                    <a:graphicData uri="http://schemas.openxmlformats.org/drawingml/2006/picture">
                      <pic:pic>
                        <pic:nvPicPr>
                          <pic:cNvPr descr="Cover Image" id="0" name="image2.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Georgia" w:cs="Georgia" w:eastAsia="Georgia" w:hAnsi="Georgia"/>
                <w:b w:val="0"/>
                <w:i w:val="1"/>
                <w:sz w:val="42"/>
                <w:szCs w:val="42"/>
                <w:vertAlign w:val="baseline"/>
              </w:rPr>
            </w:pPr>
            <w:r w:rsidDel="00000000" w:rsidR="00000000" w:rsidRPr="00000000">
              <w:rPr>
                <w:rFonts w:ascii="Georgia" w:cs="Georgia" w:eastAsia="Georgia" w:hAnsi="Georgia"/>
                <w:b w:val="0"/>
                <w:i w:val="1"/>
                <w:sz w:val="42"/>
                <w:szCs w:val="42"/>
                <w:vertAlign w:val="baseline"/>
                <w:rtl w:val="0"/>
              </w:rPr>
              <w:t xml:space="preserve">Simón Pedro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Georges Chevrot</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Este documento se sobrescribirá cuando realices cambios en Play Libros.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Debes hacer una copia de este documento antes de editarlo.</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jc w:val="center"/>
        <w:rPr>
          <w:rFonts w:ascii="Georgia" w:cs="Georgia" w:eastAsia="Georgia" w:hAnsi="Georgia"/>
          <w:b w:val="0"/>
          <w:i w:val="1"/>
          <w:sz w:val="42"/>
          <w:szCs w:val="42"/>
        </w:rPr>
      </w:pPr>
      <w:r w:rsidDel="00000000" w:rsidR="00000000" w:rsidRPr="00000000">
        <w:rPr>
          <w:rFonts w:ascii="Georgia" w:cs="Georgia" w:eastAsia="Georgia" w:hAnsi="Georgia"/>
          <w:b w:val="0"/>
          <w:i w:val="1"/>
          <w:sz w:val="42"/>
          <w:szCs w:val="42"/>
          <w:rtl w:val="0"/>
        </w:rPr>
        <w:t xml:space="preserve">4 notas/fragmentos resaltados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Creado por Javier Jiménez Ríos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Última sincronización: 25 de abril de 2022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rFonts w:ascii="Georgia" w:cs="Georgia" w:eastAsia="Georgia" w:hAnsi="Georgia"/>
          <w:b w:val="0"/>
          <w:i w:val="1"/>
          <w:sz w:val="32"/>
          <w:szCs w:val="32"/>
        </w:rPr>
      </w:pPr>
      <w:r w:rsidDel="00000000" w:rsidR="00000000" w:rsidRPr="00000000">
        <w:rPr>
          <w:rFonts w:ascii="Georgia" w:cs="Georgia" w:eastAsia="Georgia" w:hAnsi="Georgia"/>
          <w:b w:val="0"/>
          <w:i w:val="1"/>
          <w:sz w:val="32"/>
          <w:szCs w:val="32"/>
          <w:rtl w:val="0"/>
        </w:rPr>
        <w:t xml:space="preserve">Simón Pedro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Georgia" w:cs="Georgia" w:eastAsia="Georgia" w:hAnsi="Georgia"/>
          <w:b w:val="0"/>
          <w:i w:val="1"/>
          <w:sz w:val="32"/>
          <w:szCs w:val="32"/>
        </w:rPr>
      </w:pPr>
      <w:r w:rsidDel="00000000" w:rsidR="00000000" w:rsidRPr="00000000">
        <w:rPr>
          <w:rtl w:val="0"/>
        </w:rPr>
      </w:r>
    </w:p>
    <w:tbl>
      <w:tblPr>
        <w:tblStyle w:val="Table3"/>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Georgia" w:cs="Georgia" w:eastAsia="Georgia" w:hAnsi="Georgia"/>
                      <w:b w:val="0"/>
                      <w:i w:val="1"/>
                      <w:sz w:val="32"/>
                      <w:szCs w:val="32"/>
                    </w:rPr>
                  </w:pPr>
                  <w:r w:rsidDel="00000000" w:rsidR="00000000" w:rsidRPr="00000000">
                    <w:rPr>
                      <w:rFonts w:ascii="Georgia" w:cs="Georgia" w:eastAsia="Georgia" w:hAnsi="Georgia"/>
                      <w:b w:val="0"/>
                      <w:i w:val="1"/>
                      <w:sz w:val="32"/>
                      <w:szCs w:val="32"/>
                    </w:rPr>
                    <w:drawing>
                      <wp:inline distB="19050" distT="19050" distL="19050" distR="19050">
                        <wp:extent cx="304800" cy="228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Fonts w:ascii="Georgia" w:cs="Georgia" w:eastAsia="Georgia" w:hAnsi="Georgia"/>
                      <w:i w:val="1"/>
                      <w:sz w:val="26"/>
                      <w:szCs w:val="26"/>
                      <w:shd w:fill="fde096" w:val="clear"/>
                      <w:vertAlign w:val="baseline"/>
                      <w:rtl w:val="0"/>
                    </w:rPr>
                    <w:t xml:space="preserve">Hace falta menos tiempo que valor para hacer un santo”, anotaba el Padre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22 de abril de 2022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
                    <w:r w:rsidDel="00000000" w:rsidR="00000000" w:rsidRPr="00000000">
                      <w:rPr>
                        <w:color w:val="1565c0"/>
                        <w:u w:val="single"/>
                        <w:vertAlign w:val="baseline"/>
                        <w:rtl w:val="0"/>
                      </w:rPr>
                      <w:t xml:space="preserve">17</w:t>
                    </w:r>
                  </w:hyperlink>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Fonts w:ascii="Georgia" w:cs="Georgia" w:eastAsia="Georgia" w:hAnsi="Georgia"/>
                      <w:i w:val="1"/>
                      <w:sz w:val="26"/>
                      <w:szCs w:val="26"/>
                      <w:shd w:fill="fde096" w:val="clear"/>
                      <w:vertAlign w:val="baseline"/>
                      <w:rtl w:val="0"/>
                    </w:rPr>
                    <w:t xml:space="preserve">Y no emprender otro. No es cambiar de dirección, salvo excepciones, ni de director, ni de estado de vida, sino empezar de nuevo la vida con el alma rejuvenecida y más animosa.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22 de abril de 2022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
                    <w:r w:rsidDel="00000000" w:rsidR="00000000" w:rsidRPr="00000000">
                      <w:rPr>
                        <w:color w:val="1565c0"/>
                        <w:u w:val="single"/>
                        <w:vertAlign w:val="baseline"/>
                        <w:rtl w:val="0"/>
                      </w:rPr>
                      <w:t xml:space="preserve">18</w:t>
                    </w:r>
                  </w:hyperlink>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Fonts w:ascii="Georgia" w:cs="Georgia" w:eastAsia="Georgia" w:hAnsi="Georgia"/>
                      <w:i w:val="1"/>
                      <w:sz w:val="26"/>
                      <w:szCs w:val="26"/>
                      <w:shd w:fill="fde096" w:val="clear"/>
                      <w:vertAlign w:val="baseline"/>
                      <w:rtl w:val="0"/>
                    </w:rPr>
                    <w:t xml:space="preserve">Si, por el contrario, queremos únicamente servir a Dios –imitar a Nuestro Señor no para alcanzar más belleza moral, sino porque Él nos ama–, luchar contra nuestras naturales imperfecciones no porque destruyan el equilibrio de nuestro carácter, sino porque contristan al Espíritu Santo que está en nosotros, entonces es cuando estamos en el verdadero camino de la santidad.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23 de abril de 2022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
                    <w:r w:rsidDel="00000000" w:rsidR="00000000" w:rsidRPr="00000000">
                      <w:rPr>
                        <w:color w:val="1565c0"/>
                        <w:u w:val="single"/>
                        <w:vertAlign w:val="baseline"/>
                        <w:rtl w:val="0"/>
                      </w:rPr>
                      <w:t xml:space="preserve">21</w:t>
                    </w:r>
                  </w:hyperlink>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Fonts w:ascii="Georgia" w:cs="Georgia" w:eastAsia="Georgia" w:hAnsi="Georgia"/>
                      <w:i w:val="1"/>
                      <w:sz w:val="26"/>
                      <w:szCs w:val="26"/>
                      <w:shd w:fill="fde096" w:val="clear"/>
                      <w:vertAlign w:val="baseline"/>
                      <w:rtl w:val="0"/>
                    </w:rPr>
                    <w:t xml:space="preserve">Nada hizo más humildes a los santos como los favores y las gracias con que Dios los agració... La visión de sus pecados los inquietaba, pero la visión de las gracias que recibían constantemente y de las que tenían miedo de abusar no los asombraba menos” (Sermon pour la fête de Saint Jean l'Evangeliste, 2.ª parte).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Georgia" w:cs="Georgia" w:eastAsia="Georgia" w:hAnsi="Georgia"/>
                      <w:i w:val="1"/>
                      <w:sz w:val="26"/>
                      <w:szCs w:val="26"/>
                      <w:shd w:fill="fde096"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25 de abril de 2022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
                    <w:r w:rsidDel="00000000" w:rsidR="00000000" w:rsidRPr="00000000">
                      <w:rPr>
                        <w:color w:val="1565c0"/>
                        <w:u w:val="single"/>
                        <w:vertAlign w:val="baseline"/>
                        <w:rtl w:val="0"/>
                      </w:rPr>
                      <w:t xml:space="preserve">23</w:t>
                    </w:r>
                  </w:hyperlink>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lay.google.com/books/reader?printsec=frontcover&amp;output=reader&amp;id=0LjtLQAAAEAJ&amp;source=books-notes-export&amp;pg=GBS.PA23.w.0.0.0.1" TargetMode="External"/><Relationship Id="rId10" Type="http://schemas.openxmlformats.org/officeDocument/2006/relationships/hyperlink" Target="http://play.google.com/books/reader?printsec=frontcover&amp;output=reader&amp;id=0LjtLQAAAEAJ&amp;source=books-notes-export&amp;pg=GBS.PA21.w.0.0.0.1" TargetMode="External"/><Relationship Id="rId9" Type="http://schemas.openxmlformats.org/officeDocument/2006/relationships/hyperlink" Target="http://play.google.com/books/reader?printsec=frontcover&amp;output=reader&amp;id=0LjtLQAAAEAJ&amp;source=books-notes-export&amp;pg=GBS.PA18"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play.google.com/books/reader?printsec=frontcover&amp;output=reader&amp;id=0LjtLQAAAEAJ&amp;source=books-notes-export&amp;pg=GBS.PA17.w.0.0.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