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Faith as Act vs State (Week 3)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Arabic distinguishes 'those who came to believe' from 'a believer' as: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an act/journey vs a settled state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singular vs plural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past vs future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two unrelated roots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righteousness-root splits into how many distinct forms here?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four (deeds, person, reconciliation, reformer)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two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ten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The rarest of the four forms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righteous deeds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righteous person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active reformer (muslih)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reconciliation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Salvation's signature formula is built on: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a single noun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a divine name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number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verbs - belief AND sustained deeds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49:14 ('faith has not entered your hearts') shows that: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verbal claim 'we believe' is not yet the instilled state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faith is a noun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belief is impossible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Bedouins were believers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11:117 (towns spared as 'reformers') shows the corpus prizes: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wealth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making-good (reform) over mere personal goodness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numbers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silence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Merging the righteousness-root into one count would: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be most accurate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change nothing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fuse four different concepts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prove a miracle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For faith, the verb and noun counts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wildly different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identical to the letter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zero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close - the point is that BOTH are deployed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'Being good' vs 'making good' maps onto: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salih (a righteous person) vs muslih (an active reformer)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noun vs verb of faith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Mecca vs Medina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long vs short suras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The distinction act-vs-state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Meccan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grammatical, present across the whole revelation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only Medinan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only in one sura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method counts: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raw root only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surface forms, kept apart - not the raw root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rhymes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faith is only a noun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faith is only a verb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faith is uncounted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faith is named as both act and settled state; salvation is durative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morphology, not theological verdicts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