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Women &amp; Men: Economic Standing (Week 9)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4:7 fixes for women: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share of inheritance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nothing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a dowry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debt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dowry (mahr), per 4:4,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father's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woman's own property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husband's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state's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4:32 establishes that earnings: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go to men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are forbidden to women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belong to the earner, each gender severally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are shared equally always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computed datum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women have no rights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total equality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nothing is fixed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independent financial personhood is fixed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Whether the overall system is 'equal'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separate, interpretive question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settled by 4:7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proven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proven unequal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Historical context (pre-Islamic deprivation)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data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interpretation, not data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irrelevant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computed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inheritance-root clusters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sura 108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disjoint letters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sura 4 (an-Nisa, 'The Women')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sura 1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claim 'the Qur'an denies women economic independence'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confirmed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unfalsifiable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irrelevant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contradicted by the fixed entitlements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'Financial agency' here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right to own, inherit and keep property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right to vote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equality of shares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freedom from law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dowry being a 'free gift'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it is optional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it is given to her, not a price paid to others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it is symbolic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it is the father's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honest split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everything is fixed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everything is interpreted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what the text FIXES vs what is INTERPRETED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neither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verdict on agency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denied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unknowable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equal in all things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financial personhood is fixed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text's data, with the equality-verdict scoped out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ruling on equality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