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i w:val="0"/>
          <w:color w:val="1F4E79"/>
          <w:sz w:val="30"/>
        </w:rPr>
        <w:t>Special Topic: Allah, Rabb, al-Rahman, ilah - which Name does which work?  -  App &amp; Plot Guide</w:t>
      </w:r>
    </w:p>
    <w:p>
      <w:pPr>
        <w:spacing w:after="160" w:before="0"/>
      </w:pPr>
      <w:r>
        <w:rPr>
          <w:rFonts w:ascii="Arial" w:hAnsi="Arial" w:cs="Arial" w:eastAsia="Arial"/>
          <w:b w:val="0"/>
          <w:i/>
          <w:color w:val="555555"/>
          <w:sz w:val="21"/>
        </w:rPr>
        <w:t>Using the Quran Root Explorer app to drive this lecture, and how to read its figures. Every count recomputes from Book6.</w:t>
      </w:r>
    </w:p>
    <w:p>
      <w:pPr>
        <w:spacing w:after="160" w:before="0"/>
      </w:pPr>
      <w:r>
        <w:rPr>
          <w:rFonts w:ascii="Arial" w:hAnsi="Arial" w:cs="Arial" w:eastAsia="Arial"/>
          <w:b w:val="0"/>
          <w:i w:val="0"/>
          <w:sz w:val="22"/>
        </w:rPr>
        <w:t>The app is central to this lecture. Below: the live tasks to run, the screenshots to capture, and the map from each figure to the app feature that reproduces it - so the audience can re-derive every number live.</w:t>
      </w:r>
    </w:p>
    <w:p>
      <w:pPr>
        <w:spacing w:after="60" w:before="120"/>
      </w:pPr>
      <w:r>
        <w:rPr>
          <w:rFonts w:ascii="Arial" w:hAnsi="Arial" w:cs="Arial" w:eastAsia="Arial"/>
          <w:b/>
          <w:i w:val="0"/>
          <w:color w:val="0E6D63"/>
          <w:sz w:val="25"/>
        </w:rPr>
        <w:t>Live app tasks (run during the lecture)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Ayah Browser and pull this topic's cited verses, vocalized: 1:2, 113:1, 112:1, 2:255, 21:25, 47:19.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Per-Root Profile and search this topic's key root(s) -&gt; read frequency, surface forms, and co-occurring roots.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Reproduce the headline figure live: 'The principal divine words' -&gt; Per-Root Profile / Statistics - frequency, fields and counts.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Morphology / Surface Divergence to separate the senses behind the key word (the concept-verification guard - §14a).</w:t>
      </w:r>
    </w:p>
    <w:p>
      <w:pPr>
        <w:spacing w:after="60" w:before="160"/>
      </w:pPr>
      <w:r>
        <w:rPr>
          <w:rFonts w:ascii="Arial" w:hAnsi="Arial" w:cs="Arial" w:eastAsia="Arial"/>
          <w:b/>
          <w:i w:val="0"/>
          <w:color w:val="0E6D63"/>
          <w:sz w:val="25"/>
        </w:rPr>
        <w:t>Screenshot capture list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sshot-1: a key root's Per-Root Profile (frequency + forms + neighbours).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sshot-2: the app view that reproduces the headline figure: 'The principal divine words'.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sshot-3: Morphology / Surface Divergence for the key word.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sshot-4: Ayah Browser - one cited verse (1:2), vocalized.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sshot-5: Statistics - the relevant distribution / totals.</w:t>
      </w:r>
    </w:p>
    <w:p>
      <w:pPr>
        <w:spacing w:after="60" w:before="160"/>
      </w:pPr>
      <w:r>
        <w:rPr>
          <w:rFonts w:ascii="Arial" w:hAnsi="Arial" w:cs="Arial" w:eastAsia="Arial"/>
          <w:b/>
          <w:i w:val="0"/>
          <w:color w:val="0E6D63"/>
          <w:sz w:val="25"/>
        </w:rPr>
        <w:t>Plot -&gt; slide map (this deck's 7 figures)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3 - The principal divine words   &lt;-&gt;   Per-Root Profile / Statistics - frequency, fields and counts.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5 - Four kinds of work   &lt;-&gt;   Morphology / Surface Divergence - separate a root's surface forms by sense.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7 - 'Lord' is overwhelmingly possessed   &lt;-&gt;  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9 - The proper Name across the corpus   &lt;-&gt;   Per-Root Profile / Statistics - per-sura distribution of a root.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10 - 'Lord' across the corpus   &lt;-&gt;   Per-Root Profile / Statistics - per-sura distribution of a root.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12 - 'A god' appears mostly to be denied   &lt;-&gt;  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13 - A division of labour   &lt;-&gt;   Per-Root Profile / Statistics.</w:t>
      </w:r>
    </w:p>
    <w:p>
      <w:pPr>
        <w:spacing w:after="80" w:before="160"/>
      </w:pPr>
      <w:r>
        <w:rPr>
          <w:rFonts w:ascii="Arial" w:hAnsi="Arial" w:cs="Arial" w:eastAsia="Arial"/>
          <w:b w:val="0"/>
          <w:i/>
          <w:color w:val="555555"/>
          <w:sz w:val="21"/>
        </w:rPr>
        <w:t>Tip: capture screenshots at 150 dpi or higher; crop to the chart so it reads from the back of the room. Every figure recomputes from Book6 (the app live; the deck via the wk.py kernel) - roots normalized, surface forms used where a concept must be kept apart.</w:t>
      </w:r>
    </w:p>
    <w:p>
      <w:pPr>
        <w:spacing w:after="80" w:before="0"/>
      </w:pPr>
      <w:r>
        <w:rPr>
          <w:rFonts w:ascii="Arial" w:hAnsi="Arial" w:cs="Arial" w:eastAsia="Arial"/>
          <w:b/>
          <w:i w:val="0"/>
          <w:sz w:val="21"/>
        </w:rPr>
        <w:t>Honest spine: the app and the figures PRESENT the structure; the theological reading is labelled and never adjudicated.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