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 — Introduction</w:t>
      </w:r>
    </w:p>
    <w:p>
      <w:r>
        <w:rPr>
          <w:i/>
          <w:color w:val="0E9D8C"/>
          <w:sz w:val="24"/>
        </w:rPr>
        <w:t>Instructor Script · 3-hour session · foundations, the thesis, the defense</w:t>
      </w:r>
    </w:p>
    <w:p/>
    <w:p>
      <w:r>
        <w:rPr>
          <w:b/>
          <w:sz w:val="22"/>
        </w:rPr>
        <w:t>Goal: set the Two Books frame, state the three-pillar thesis, and pre-empt the 'numerology' objection with data. Overview lecture — no single root drilled; the course-wide totals are the material.</w:t>
      </w:r>
    </w:p>
    <w:p>
      <w:r>
        <w:rPr>
          <w:b/>
          <w:color w:val="1E2761"/>
          <w:sz w:val="28"/>
        </w:rPr>
        <w:t>0:00–0:20 The two Books (1–3)</w:t>
      </w:r>
    </w:p>
    <w:p>
      <w:pPr>
        <w:pStyle w:val="ListBullet"/>
      </w:pPr>
      <w:r>
        <w:t>tadwīn (the Word) beside takwīn (the Act); will/will-not; the audit rule.</w:t>
      </w:r>
    </w:p>
    <w:p>
      <w:r>
        <w:rPr>
          <w:b/>
          <w:color w:val="1E2761"/>
          <w:sz w:val="28"/>
        </w:rPr>
        <w:t>0:20–1:00 The thesis on data (the few→many overview)</w:t>
      </w:r>
    </w:p>
    <w:p>
      <w:pPr>
        <w:pStyle w:val="ListBullet"/>
      </w:pPr>
      <w:r>
        <w:t>28 letters → 7,236 words → 135,366 tokens; 4 bases → ~100k proteins; the ladder; the challenges funnel.</w:t>
      </w:r>
    </w:p>
    <w:p>
      <w:r>
        <w:rPr>
          <w:b/>
          <w:color w:val="1E2761"/>
          <w:sz w:val="28"/>
        </w:rPr>
        <w:t>1:00–1:10 Break</w:t>
      </w:r>
    </w:p>
    <w:p>
      <w:r>
        <w:rPr>
          <w:b/>
          <w:color w:val="1E2761"/>
          <w:sz w:val="28"/>
        </w:rPr>
        <w:t>1:10–1:50 The firewall (Monte-Carlo) + roadmap</w:t>
      </w:r>
    </w:p>
    <w:p>
      <w:pPr>
        <w:pStyle w:val="ListBullet"/>
      </w:pPr>
      <w:r>
        <w:t>Why a null; the scale gap; what's inside (the 17-lecture order).</w:t>
      </w:r>
    </w:p>
    <w:p>
      <w:r>
        <w:rPr>
          <w:b/>
          <w:color w:val="1E2761"/>
          <w:sz w:val="28"/>
        </w:rPr>
        <w:t>1:50–2:20 The defense block (slides 18–21)</w:t>
      </w:r>
    </w:p>
    <w:p>
      <w:pPr>
        <w:pStyle w:val="ListBullet"/>
      </w:pPr>
      <w:r>
        <w:t>Falsifiable pillars; the scoreboard (anagram 54% vs null 45%, p&lt;0.003); four objections answered; the line we refuse to cross.</w:t>
      </w:r>
    </w:p>
    <w:p>
      <w:r>
        <w:rPr>
          <w:b/>
          <w:color w:val="1E2761"/>
          <w:sz w:val="28"/>
        </w:rPr>
        <w:t>2:20–2:30 Break</w:t>
      </w:r>
    </w:p>
    <w:p>
      <w:r>
        <w:rPr>
          <w:b/>
          <w:color w:val="1E2761"/>
          <w:sz w:val="28"/>
        </w:rPr>
        <w:t>2:30–3:00 Synthesis &amp; how to read the series</w:t>
      </w:r>
    </w:p>
    <w:p>
      <w:pPr>
        <w:pStyle w:val="ListBullet"/>
      </w:pPr>
      <w:r>
        <w:t>One habit of mind: notice the parallel, then ask supported/broken/silent.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