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2 — Exercise Answer Key</w:t>
      </w:r>
    </w:p>
    <w:p>
      <w:r>
        <w:rPr>
          <w:i/>
          <w:color w:val="0E9D8C"/>
          <w:sz w:val="24"/>
        </w:rPr>
        <w:t>Instructor copy · pair رحمن–رحيم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Verification = internally consistent; validation = matches reality beyond chance. The map VERIFIES trivially (ρ=1 by construction) but cannot be VALIDATED (no ground truth).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رحمن–رحيم co-occur ~114 times, far above the ~8 a comparable random pair would give. Observed ≫ null.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Yes — observed (114) sits deep in the null's tail (expected ~8), so the bond is real, not chance.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e.g. Multiple testing → guard with FDR/Bonferroni; or wrong-null → use a structure-preserving null; or outliers → use Spearman.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On 51k+ tokens even a negligible effect crosses p&lt;.05; effect size shows whether it MATTERS, not just that it is non-zero.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'Beats the null' only rules out chance under one null — it is not proof of truth or design. But it is the floor of evidence: without it, a parallel is indistinguishable from coincidence.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