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4 — App &amp; Plot Guide</w:t>
      </w:r>
    </w:p>
    <w:p>
      <w:r>
        <w:rPr>
          <w:i/>
          <w:color w:val="0E9D8C"/>
          <w:sz w:val="24"/>
        </w:rPr>
        <w:t>Using the app to run the mapping test</w:t>
      </w:r>
    </w:p>
    <w:p/>
    <w:p>
      <w:r>
        <w:rPr>
          <w:b w:val="0"/>
          <w:sz w:val="22"/>
        </w:rPr>
        <w:t>The app supplies the real frequency data the lecture's simulation rests on. Tasks below feed slides 4–9.</w:t>
      </w:r>
    </w:p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Rank letters by frequency (whole Qur'an) → supports slides 4, 6 (the candidate map).</w:t>
      </w:r>
    </w:p>
    <w:p>
      <w:pPr>
        <w:pStyle w:val="ListBullet"/>
      </w:pPr>
      <w:r>
        <w:t>Re-rank letters on two halves of the text → supports slide 11 (held-out collapse).</w:t>
      </w:r>
    </w:p>
    <w:p>
      <w:pPr>
        <w:pStyle w:val="ListBullet"/>
      </w:pPr>
      <w:r>
        <w:t>Read the alphabet/inventory totals → supports slide 4 (cardinality mismatch).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letter-frequency ranking (whole corpus).</w:t>
      </w:r>
    </w:p>
    <w:p>
      <w:pPr>
        <w:pStyle w:val="ListNumber"/>
      </w:pPr>
      <w:r>
        <w:t>sshot-2: letter ranking on half A vs half B (for held-out demo).</w:t>
      </w:r>
    </w:p>
    <w:p>
      <w:pPr>
        <w:pStyle w:val="ListNumber"/>
      </w:pPr>
      <w:r>
        <w:t>sshot-3: amino-acid frequency reference table (from lecture data).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App letter-frequency bar  ↔  slide 4 (composition) and slide 6 (rank map).</w:t>
      </w:r>
    </w:p>
    <w:p>
      <w:pPr>
        <w:pStyle w:val="ListBullet"/>
      </w:pPr>
      <w:r>
        <w:t>Two-half ranking  ↔  slide 11 (held-out test).</w:t>
      </w:r>
    </w:p>
    <w:p>
      <w:r>
        <w:rPr>
          <w:b w:val="0"/>
          <w:sz w:val="22"/>
        </w:rPr>
        <w:t>Tip: present the simulation histogram (slide 9) live if the app exposes the random-map sampler; otherwise use the slide chart.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