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6 — App &amp; Plot Guide</w:t>
      </w:r>
    </w:p>
    <w:p>
      <w:r>
        <w:rPr>
          <w:i/>
          <w:color w:val="0E9D8C"/>
          <w:sz w:val="24"/>
        </w:rPr>
        <w:t>Distinct roots: حمد, حمل, قلم</w:t>
      </w:r>
    </w:p>
    <w:p/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Concordance of a word → slides 7, 16b.</w:t>
      </w:r>
    </w:p>
    <w:p>
      <w:pPr>
        <w:pStyle w:val="ListBullet"/>
      </w:pPr>
      <w:r>
        <w:t>Align حمد vs حمل (edit distance) → slide 8.</w:t>
      </w:r>
    </w:p>
    <w:p>
      <w:pPr>
        <w:pStyle w:val="ListBullet"/>
      </w:pPr>
      <w:r>
        <w:t>Count a recurring formula (الحمد لله) → slide 9.</w:t>
      </w:r>
    </w:p>
    <w:p>
      <w:pPr>
        <w:pStyle w:val="ListBullet"/>
      </w:pPr>
      <w:r>
        <w:t>Word-length distribution → slide 5.</w:t>
      </w:r>
    </w:p>
    <w:p>
      <w:pPr>
        <w:pStyle w:val="ListBullet"/>
      </w:pPr>
      <w:r>
        <w:t>Words sharing فاعِل (حامد, حامل) → slides 10–11.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concordance for حمد.</w:t>
      </w:r>
    </w:p>
    <w:p>
      <w:pPr>
        <w:pStyle w:val="ListNumber"/>
      </w:pPr>
      <w:r>
        <w:t>sshot-2: حمد vs حمل aligned.</w:t>
      </w:r>
    </w:p>
    <w:p>
      <w:pPr>
        <w:pStyle w:val="ListNumber"/>
      </w:pPr>
      <w:r>
        <w:t>sshot-3: formula occurrence count.</w:t>
      </w:r>
    </w:p>
    <w:p>
      <w:pPr>
        <w:pStyle w:val="ListNumber"/>
      </w:pPr>
      <w:r>
        <w:t>sshot-4: word-length distribution.</w:t>
      </w:r>
    </w:p>
    <w:p>
      <w:pPr>
        <w:pStyle w:val="ListNumber"/>
      </w:pPr>
      <w:r>
        <w:t>sshot-5: فاعِل family (حامد/حامل).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Concordance ↔ 7/16b; length ↔ 5; wazn family ↔ 10–11.</w:t>
      </w:r>
    </w:p>
    <w:p>
      <w:r>
        <w:rPr>
          <w:b w:val="0"/>
          <w:sz w:val="22"/>
        </w:rPr>
        <w:t>Tip: align حمد and حمل live for fresh variety.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