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7 — App &amp; Plot Guide</w:t>
      </w:r>
    </w:p>
    <w:p>
      <w:r>
        <w:rPr>
          <w:i/>
          <w:color w:val="0E9D8C"/>
          <w:sz w:val="24"/>
        </w:rPr>
        <w:t>Distinct roots: نصر, مخلص</w:t>
      </w:r>
    </w:p>
    <w:p/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List نصر's forms and shared concept → slides 5–6.</w:t>
      </w:r>
    </w:p>
    <w:p>
      <w:pPr>
        <w:pStyle w:val="ListBullet"/>
      </w:pPr>
      <w:r>
        <w:t>Find مُخلِص/مُخلَص active/passive → slide 4.</w:t>
      </w:r>
    </w:p>
    <w:p>
      <w:pPr>
        <w:pStyle w:val="ListBullet"/>
      </w:pPr>
      <w:r>
        <w:t>Same-root (نصر) vs random field-sharing → slide 15 (validation).</w:t>
      </w:r>
    </w:p>
    <w:p>
      <w:pPr>
        <w:pStyle w:val="ListBullet"/>
      </w:pPr>
      <w:r>
        <w:t>Show a polysemous root's senses → slides 8, 12.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نصر's fan of forms.</w:t>
      </w:r>
    </w:p>
    <w:p>
      <w:pPr>
        <w:pStyle w:val="ListNumber"/>
      </w:pPr>
      <w:r>
        <w:t>sshot-2: مُخلِص/مُخلَص pair.</w:t>
      </w:r>
    </w:p>
    <w:p>
      <w:pPr>
        <w:pStyle w:val="ListNumber"/>
      </w:pPr>
      <w:r>
        <w:t>sshot-3: same-root vs random field-sharing.</w:t>
      </w:r>
    </w:p>
    <w:p>
      <w:pPr>
        <w:pStyle w:val="ListNumber"/>
      </w:pPr>
      <w:r>
        <w:t>sshot-4: a polysemous root's senses.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Forms-per-root ↔ 6; same-root vs null ↔ 15; senses ↔ 8/12.</w:t>
      </w:r>
    </w:p>
    <w:p>
      <w:r>
        <w:rPr>
          <w:b w:val="0"/>
          <w:sz w:val="22"/>
        </w:rPr>
        <w:t>Tip: use نصر here (the deck differs) so students apply the idea to a NEW root.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