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Folding (sequence → 3-D shape → function); analogue: the wazn/pattern shaping a root into a meaning-bearing word.</w:t>
      </w:r>
    </w:p>
    <w:p>
      <w:r>
        <w:rPr>
          <w:b w:val="0"/>
          <w:sz w:val="22"/>
        </w:rPr>
        <w:t>2. مُخلِص = active, مُخلَص = passive; a single vowel (kasra vs fatḥa) on the middle radical.</w:t>
      </w:r>
    </w:p>
    <w:p>
      <w:r>
        <w:rPr>
          <w:b w:val="0"/>
          <w:sz w:val="22"/>
        </w:rPr>
        <w:t>3. ~a few thousand folds vs ~10^8 sequences — structure is far more conserved than sequence.</w:t>
      </w:r>
    </w:p>
    <w:p>
      <w:r>
        <w:rPr>
          <w:b w:val="0"/>
          <w:sz w:val="22"/>
        </w:rPr>
        <w:t>4. ~95% for same-root pairs vs ~12% for random pairs.</w:t>
      </w:r>
    </w:p>
    <w:p>
      <w:r>
        <w:rPr>
          <w:b w:val="0"/>
          <w:sz w:val="22"/>
        </w:rPr>
        <w:t>5. The conserved active-site/core residues.</w:t>
      </w:r>
    </w:p>
    <w:p>
      <w:r>
        <w:rPr>
          <w:b w:val="0"/>
          <w:sz w:val="22"/>
        </w:rPr>
        <w:t>6. One root/word carrying several related senses; analogue: a 'moonlighting' protein (one fold, multiple jobs).</w:t>
      </w:r>
    </w:p>
    <w:p>
      <w:r>
        <w:rPr>
          <w:b w:val="0"/>
          <w:sz w:val="22"/>
        </w:rPr>
        <w:t>7. Meaning is conventional (community-fixed); function is physico-chemical (force-fixed) — same shape, different cause, so no identity.</w:t>
      </w:r>
    </w:p>
    <w:p>
      <w:r>
        <w:rPr>
          <w:b w:val="0"/>
          <w:sz w:val="22"/>
        </w:rPr>
        <w:t>8. Relatedness predicts role (homology→function; same-root→shared field), validated against a null in both 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