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8 — Exercise Answer Key</w:t>
      </w:r>
    </w:p>
    <w:p>
      <w:r>
        <w:rPr>
          <w:i/>
          <w:color w:val="0E9D8C"/>
          <w:sz w:val="24"/>
        </w:rPr>
        <w:t>Instructor copy</w:t>
      </w:r>
    </w:p>
    <w:p/>
    <w:p>
      <w:r>
        <w:rPr>
          <w:b/>
          <w:color w:val="1E2761"/>
          <w:sz w:val="28"/>
        </w:rPr>
        <w:t>Task 1</w:t>
      </w:r>
    </w:p>
    <w:p>
      <w:r>
        <w:rPr>
          <w:b w:val="0"/>
          <w:sz w:val="22"/>
        </w:rPr>
        <w:t>Mercy field: رحمن, رحيم, رحمة, مرحمة, راحم … centre is the most frequent/general member (رحمة/رحمن). The field is heavy-tailed.</w:t>
      </w:r>
    </w:p>
    <w:p>
      <w:r>
        <w:rPr>
          <w:b/>
          <w:color w:val="1E2761"/>
          <w:sz w:val="28"/>
        </w:rPr>
        <w:t>Task 2</w:t>
      </w:r>
    </w:p>
    <w:p>
      <w:r>
        <w:rPr>
          <w:b w:val="0"/>
          <w:sz w:val="22"/>
        </w:rPr>
        <w:t>مكتب (office), مسجد (mosque), منزل (house) share مَفعَل = 'place of'. The pattern adds the same sense regardless of root — analogous to a reusable protein DOMAIN contributing the same sub-function.</w:t>
      </w:r>
    </w:p>
    <w:p>
      <w:r>
        <w:rPr>
          <w:b/>
          <w:color w:val="1E2761"/>
          <w:sz w:val="28"/>
        </w:rPr>
        <w:t>Task 3</w:t>
      </w:r>
    </w:p>
    <w:p>
      <w:r>
        <w:rPr>
          <w:b w:val="0"/>
          <w:sz w:val="22"/>
        </w:rPr>
        <w:t>Within-field shared sense ~88% vs ~10% for a random set — the field beats a shuffle null overwhelmingly, so it is a real category.</w:t>
      </w:r>
    </w:p>
    <w:p>
      <w:r>
        <w:rPr>
          <w:b/>
          <w:color w:val="1E2761"/>
          <w:sz w:val="28"/>
        </w:rPr>
        <w:t>Task 4</w:t>
      </w:r>
    </w:p>
    <w:p>
      <w:r>
        <w:rPr>
          <w:b w:val="0"/>
          <w:sz w:val="22"/>
        </w:rPr>
        <w:t>رحمة co-occurs strongly with غفور and رب (high lift), rarely with عذاب. Distributional context maps the neighbourhood — the basis of embeddings and of co-expression modules.</w:t>
      </w:r>
    </w:p>
    <w:p>
      <w:r>
        <w:rPr>
          <w:b/>
          <w:color w:val="1E2761"/>
          <w:sz w:val="28"/>
        </w:rPr>
        <w:t>Task 5</w:t>
      </w:r>
    </w:p>
    <w:p>
      <w:r>
        <w:rPr>
          <w:b w:val="0"/>
          <w:sz w:val="22"/>
        </w:rPr>
        <w:t>نور (194) / ظلمات (118) — a deliberate, recurring contrast. Opposition is structural, mirroring activator/repressor balance in regulation.</w:t>
      </w:r>
    </w:p>
    <w:p>
      <w:r>
        <w:rPr>
          <w:b/>
          <w:color w:val="1E2761"/>
          <w:sz w:val="28"/>
        </w:rPr>
        <w:t>Reflection (model)</w:t>
      </w:r>
    </w:p>
    <w:p>
      <w:r>
        <w:rPr>
          <w:b w:val="0"/>
          <w:sz w:val="22"/>
        </w:rPr>
        <w:t>Both organize into families with a conserved core, reusable parts, graded distance, and coherence beyond chance. The difference: a semantic field coheres by human convention/association, a protein family by shared ancestry and physics — same shape, different cause.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