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9 — Variation</w:t>
      </w:r>
    </w:p>
    <w:p>
      <w:r>
        <w:rPr>
          <w:i/>
          <w:color w:val="0E9D8C"/>
          <w:sz w:val="24"/>
        </w:rPr>
        <w:t>Instructor Script · 3-hour session · how one source becomes many</w:t>
      </w:r>
    </w:p>
    <w:p/>
    <w:p>
      <w:r>
        <w:rPr>
          <w:b/>
          <w:sz w:val="22"/>
        </w:rPr>
        <w:t>Goal: show variation as a small algebra of bounded, graded change that turns one source into a family — the bridge from order (Pillar 2) to expression (Pillar 3).</w:t>
      </w:r>
    </w:p>
    <w:p>
      <w:r>
        <w:rPr>
          <w:b/>
          <w:color w:val="1E2761"/>
          <w:sz w:val="28"/>
        </w:rPr>
        <w:t>0:00–0:15 Opening (1–3)</w:t>
      </w:r>
    </w:p>
    <w:p>
      <w:pPr>
        <w:pStyle w:val="ListBullet"/>
      </w:pPr>
      <w:r>
        <w:t>Four change operators — substitute/insert/delete/reorder — act on letters and bases alike.</w:t>
      </w:r>
    </w:p>
    <w:p>
      <w:r>
        <w:rPr>
          <w:b/>
          <w:color w:val="1E2761"/>
          <w:sz w:val="28"/>
        </w:rPr>
        <w:t>0:15–0:55 Silent vs meaningful, graded (4–6)</w:t>
      </w:r>
    </w:p>
    <w:p>
      <w:pPr>
        <w:pStyle w:val="ListBullet"/>
      </w:pPr>
      <w:r>
        <w:t>One diacritic/base flips role; ~70% of 3rd-position changes silent; conservative vs radical (BLOSUM).</w:t>
      </w:r>
    </w:p>
    <w:p>
      <w:r>
        <w:rPr>
          <w:b/>
          <w:color w:val="1E2761"/>
          <w:sz w:val="28"/>
        </w:rPr>
        <w:t>0:55–1:05 Break</w:t>
      </w:r>
    </w:p>
    <w:p>
      <w:r>
        <w:rPr>
          <w:b/>
          <w:color w:val="1E2761"/>
          <w:sz w:val="28"/>
        </w:rPr>
        <w:t>1:05–1:45 Output &amp; Pillar-3 link (7–10)</w:t>
      </w:r>
    </w:p>
    <w:p>
      <w:pPr>
        <w:pStyle w:val="ListBullet"/>
      </w:pPr>
      <w:r>
        <w:t>Forms-per-root (4.7) ~ isoforms/gene (4–5); splicing ~ derivation; realized « possible; ambiguity from under-specification.</w:t>
      </w:r>
    </w:p>
    <w:p>
      <w:r>
        <w:rPr>
          <w:b/>
          <w:color w:val="1E2761"/>
          <w:sz w:val="28"/>
        </w:rPr>
        <w:t>1:45–2:15 Guardrail &amp; productivity (11–13a,13b)</w:t>
      </w:r>
    </w:p>
    <w:p>
      <w:pPr>
        <w:pStyle w:val="ListBullet"/>
      </w:pPr>
      <w:r>
        <w:t>Conserved core vs variable margin; productive sources radiate most (ءمن→21; DSCAM); the variant tree (phylogeny ~ etymology).</w:t>
      </w:r>
    </w:p>
    <w:p>
      <w:r>
        <w:rPr>
          <w:b/>
          <w:color w:val="1E2761"/>
          <w:sz w:val="28"/>
        </w:rPr>
        <w:t>2:15–2:25 Break</w:t>
      </w:r>
    </w:p>
    <w:p>
      <w:r>
        <w:rPr>
          <w:b/>
          <w:color w:val="1E2761"/>
          <w:sz w:val="28"/>
        </w:rPr>
        <w:t>2:25–2:50 Context, robustness, validation (13c,13d,13)</w:t>
      </w:r>
    </w:p>
    <w:p>
      <w:pPr>
        <w:pStyle w:val="ListBullet"/>
      </w:pPr>
      <w:r>
        <w:t>RNA editing ~ context-fixed reading; most variation neutral; VALIDATION: variants stay in-family ~95%/~90% vs ~12%/~8% null.</w:t>
      </w:r>
    </w:p>
    <w:p>
      <w:r>
        <w:rPr>
          <w:b/>
          <w:color w:val="1E2761"/>
          <w:sz w:val="28"/>
        </w:rPr>
        <w:t>2:50–3:00 Audit, synthesis, takeaway (14–16)</w:t>
      </w:r>
    </w:p>
    <w:p>
      <w:pPr>
        <w:pStyle w:val="ListBullet"/>
      </w:pPr>
      <w:r>
        <w:t>✓ bounded graded variation validated; ✗ rule-driven vs error+selection; ~ per-position rates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