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Substitution, insertion, deletion, rearrangement (reorder).</w:t>
      </w:r>
    </w:p>
    <w:p>
      <w:r>
        <w:rPr>
          <w:b w:val="0"/>
          <w:sz w:val="22"/>
        </w:rPr>
        <w:t>2. A base change that does not alter the protein; analogue: a vocalization that keeps the sense.</w:t>
      </w:r>
    </w:p>
    <w:p>
      <w:r>
        <w:rPr>
          <w:b w:val="0"/>
          <w:sz w:val="22"/>
        </w:rPr>
        <w:t>3. ~4–5 protein isoforms per gene (alternative splicing).</w:t>
      </w:r>
    </w:p>
    <w:p>
      <w:r>
        <w:rPr>
          <w:b w:val="0"/>
          <w:sz w:val="22"/>
        </w:rPr>
        <w:t>4. Selecting different exon combinations from one gene to make different proteins; analogue: deriving different words from one root via patterns.</w:t>
      </w:r>
    </w:p>
    <w:p>
      <w:r>
        <w:rPr>
          <w:b w:val="0"/>
          <w:sz w:val="22"/>
        </w:rPr>
        <w:t>5. It preserves identity/relatedness; without it, variation would erase the family.</w:t>
      </w:r>
    </w:p>
    <w:p>
      <w:r>
        <w:rPr>
          <w:b w:val="0"/>
          <w:sz w:val="22"/>
        </w:rPr>
        <w:t>6. Conservative = like-for-like (tolerated); radical = dissimilar (rare); scored by substitution matrices (BLOSUM/PAM).</w:t>
      </w:r>
    </w:p>
    <w:p>
      <w:r>
        <w:rPr>
          <w:b w:val="0"/>
          <w:sz w:val="22"/>
        </w:rPr>
        <w:t>7. Same-root forms share a field ~95% vs ~12% null; isoforms share function ~90% vs ~8% null.</w:t>
      </w:r>
    </w:p>
    <w:p>
      <w:r>
        <w:rPr>
          <w:b w:val="0"/>
          <w:sz w:val="22"/>
        </w:rPr>
        <w:t>8. Order (Pillar 2) sets which arrangements exist; variation generates many; expression (Pillar 3) selects which are realized — Lecture 9 is the hinge.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