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Arial" w:hAnsi="Arial" w:cs="Arial" w:eastAsia="Arial"/>
          <w:b/>
          <w:sz w:val="36"/>
        </w:rPr>
        <w:t>THE TWO BOOKS — Istinsākh &amp; the Genome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1"/>
        </w:rPr>
        <w:t>Instructor script (~45 minutes). The Qur’anic data is computed from Book6; the molecular-biology parallel is a LABELLED teaching analogy, audited stage by stage (Supported · Breaks · Silent-but-surmisable). Make the disclaimer early and keep it.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Slide 1–2 · Open (4 min)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Begin with the verse: “This is Our record that speaks against you in truth; We were transcribing — nastansikh — what you used to do” (45:29). Hold on that word: transcribing. Today we set the Book of Creation beside the Book of Scripture — the Qur’an calls both by one word, āyāt — and the natural ‘book’ we’ll read is the genome.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rule of the series out loud: we are not proving anything, and we are certainly not claiming the Qur’an contains genetics. We are testing a SHAPE — copy now, express later, lose nothing — and for every parallel we will say plainly whether the text SUPPORTS it, the text BREAKS it, or the text is SILENT but lets us surmise.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Slide 3 · The data (3 min)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Ground it in the text’s own language first. Deeds are transcribed (45:29); recorded by watchers, word by word (50:18; 82:11); and nothing is lost — “everything enumerated in a record” (78:29), omitting “nothing small or great” (18:49), down to an atom’s weight (99:7–8). This is the computed anchor; everything after is the analogy.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Slides 4–5 · Two primers (6 min)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Primer A, the biology in plain words: the genome is an inherited archive of coded instructions; an active gene is COPIED into a message (transcription); the message is READ to build a protein (translation); proteins make the organism’s visible traits — the phenotype — expressed later, in context.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Primer B, the method: an analogy maps STRUCTURE, not identity. It borrows a familiar scaffolding to think with. Introduce the three verdicts here — Supported, Breaks, Silent-but-surmisable — and promise to use them honestly, including against ourselves.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Slides 6–8 · The pipeline, stage by stage (8 min)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Transcription: DNA→mRNA, a faithful working copy; the text’s nastansikh copies deeds “in truth,” omitting nothing. Verdict: SUPPORTED. Translation: the ribosome reads the message into a protein; on the Day “Read your record; you suffice as your own reckoner” (17:14) and the deeds are weighed on the just scales (21:47). The record becomes a verdict. SUPPORTED. Phenotype: the protein yields a trait expressed in its own context; the consequence of deeds is expressed in the hereafter — a deferred, context-specific ‘phenotype.’ SUPPORTED.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Slides 9–11 · Where it strains and breaks (7 min)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Now go the other way, honestly. Fidelity: biology has error and runs repair; the Qur’anic record is error-free, bil-ḥaqq — here the analogy BREAKS. Regulation: genes are expressed selectively by context; deeds are WEIGHED, not merely tallied (21:47) — supported in principle, though the mechanism of weighting is SILENT. Heritability: genes are inherited; but “no bearer bears another’s burden” (35:18) — consequence is personal, not passed on. BREAKS (with a graced echo in 52:21).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Slide 12 · The silent question the text answers (4 min)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Ask the question biology mostly can’t: can a past transcript be edited? In the natural pipeline, largely no. But the text is not silent — it goes beyond: for the repentant, “God converts their evil deeds into good” (25:70); “He erases what He wills and confirms, and with Him is the Mother of the Record, umm al-kitāb” (13:39). The transcript is editable, and a master archive holds the final version. Here the text OVER-answers the analogy.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Slide 12b · One-way bias toward the good (4 min)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And there is a direction: “the good deeds drive away the bad” (11:114); repentance converts bad to good (25:70). There is no symmetric, automatic rule that bad erases good — the arrow points one way, toward the good (echoing the Week-6 ‘out of darkness into light’). Biology offers a careful corroboration: DNA repair biases toward the correct, functional sequence; engineered systems echo it (error-correcting codes; smaller chips packing more capacity). But STOP there — do not say ‘evolution trends to perfection’; that is a misconception, and an unsubstantiated claim. Push the parallel only to repair and engineering.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Slides 13–14 · The decisive breaks &amp; the scorecard (4 min)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Name the deepest differences: you author your own code (free deeds, not an inherited genome); the phenotype expresses in another realm; the record is read for accountability, and the reader is the self. Then show the scorecard — six parallels supported, five broken, four left silent but surmisable — so students see the analogy weighed, not sold.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Slides 15–17 · Payload, discipline, and the Two Books (5 min)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Payload: nothing is lost, and the harvest is deferred but editable — hope is built into the pipeline. Discipline: repeat the disclaimer — this is NOT a ‘scientific miracle’; no verse is biology, no biology is proof. Then escalate the frame: the genome is a page of the Book of Creation; istinsākh is from the Book of Scripture; the Qur’an calls both āyāt. Read side by side, never collapsed, each clarifies the other’s grammar of consequence.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26"/>
        </w:rPr>
        <w:t>Close · Discussion (≈ remaining time)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the floor with the slide’s questions: where do the Two Books agree and break? Is repentance an edit or a new transcript? Why a one-way arrow toward the good that biology mirrors only as repair, not progress? And — what does reading creation as an āyah ask of a scientist?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THE TWO BOOKS — Istinsākh &amp; the Genome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