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12 — App &amp; Plot Guide</w:t>
      </w:r>
    </w:p>
    <w:p>
      <w:r>
        <w:rPr>
          <w:i/>
          <w:color w:val="0E9D8C"/>
          <w:sz w:val="24"/>
        </w:rPr>
        <w:t>Using the app for regulation &amp; context</w:t>
      </w:r>
    </w:p>
    <w:p/>
    <w:p>
      <w:r>
        <w:rPr>
          <w:b w:val="0"/>
          <w:sz w:val="22"/>
        </w:rPr>
        <w:t>Distinct roots this lecture: الله, قول, كون (housekeeping) vs فيل (105), لهب (111) (context-specific).</w:t>
      </w:r>
    </w:p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Count distinct roots in a short vs long surah → slide 4 (expression breadth).</w:t>
      </w:r>
    </w:p>
    <w:p>
      <w:pPr>
        <w:pStyle w:val="ListBullet"/>
      </w:pPr>
      <w:r>
        <w:t>Find the surah-count of الله/قول vs a single-surah root → slide 5.</w:t>
      </w:r>
    </w:p>
    <w:p>
      <w:pPr>
        <w:pStyle w:val="ListBullet"/>
      </w:pPr>
      <w:r>
        <w:t>Resolve an ambiguous skeleton by context → slide 7.</w:t>
      </w:r>
    </w:p>
    <w:p>
      <w:pPr>
        <w:pStyle w:val="ListBullet"/>
      </w:pPr>
      <w:r>
        <w:t>Contrast a Meccan vs Medinan theme by revelation order → slide 8.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distinct-roots count for al-Kāfirūn vs al-Baqarah.</w:t>
      </w:r>
    </w:p>
    <w:p>
      <w:pPr>
        <w:pStyle w:val="ListNumber"/>
      </w:pPr>
      <w:r>
        <w:t>sshot-2: surah-breadth of الله vs فيل.</w:t>
      </w:r>
    </w:p>
    <w:p>
      <w:pPr>
        <w:pStyle w:val="ListNumber"/>
      </w:pPr>
      <w:r>
        <w:t>sshot-3: a context-resolved skeleton.</w:t>
      </w:r>
    </w:p>
    <w:p>
      <w:pPr>
        <w:pStyle w:val="ListNumber"/>
      </w:pPr>
      <w:r>
        <w:t>sshot-4: revelation-order view (Meccan vs Medinan).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Roots-per-surah ↔ slide 4; breadth-of-use ↔ slide 5; co-occurrence ↔ slide 12.</w:t>
      </w:r>
    </w:p>
    <w:p>
      <w:r>
        <w:rPr>
          <w:b w:val="0"/>
          <w:sz w:val="22"/>
        </w:rPr>
        <w:t>Tip: the short-vs-long surah expression count is the lecture's signature; run it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