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12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al-Kāfirūn (109) ≈ 4 roots (0.2%); al-Baqarah (2) ≈ 606 roots (36%). Mean across surahs is 157 (9.3%). Each context expresses only a slice.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الله and قول appear across the great majority of surahs — 'housekeeping' vocabulary (on everywhere). فيل (surah 105) and لهب (111) appear in a single surah — context-specific, like tissue-specific genes (insulin, opsins).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A two-reading skeleton (19.6% of skeletons) is fixed by its sentence; analogue: a gene's isoform chosen by the cell's splicing context.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Early/Meccan: faith, the unseen, the self; later/Medinan: law and community. The staged order resembles a developmental program — master genes switching on in sequence.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Because silence is the default (~91% absent), the roots that ARE present were selected — their very presence is informative, like a gene being switched ON against a repressed background.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A neuron and liver cell share a genome but differ by what they express; a short and long surah share a lexicon but differ by what they activate. In both Books the realized object is produced by regulated EXPRESSION of a subset, not by the raw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