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761"/>
          <w:sz w:val="40"/>
        </w:rPr>
        <w:t>Lecture 12 — Regulation &amp; Context</w:t>
      </w:r>
    </w:p>
    <w:p>
      <w:r>
        <w:rPr>
          <w:i/>
          <w:color w:val="0E9D8C"/>
          <w:sz w:val="24"/>
        </w:rPr>
        <w:t>Instructor Script · 3-hour session · expression makes the realized text (Pillar 3)</w:t>
      </w:r>
    </w:p>
    <w:p/>
    <w:p>
      <w:r>
        <w:rPr>
          <w:b/>
          <w:sz w:val="22"/>
        </w:rPr>
        <w:t>Goal: show that both Books hold more than they express, and CONTEXT decides what is realized — selective, staged, graded, layered, conditional, reversible, co-regulated. Distinct example roots this lecture: housekeeping الله/قول/كون vs context-specific فيل/لهب.</w:t>
      </w:r>
    </w:p>
    <w:p>
      <w:r>
        <w:rPr>
          <w:b/>
          <w:color w:val="1E2761"/>
          <w:sz w:val="28"/>
        </w:rPr>
        <w:t>0:00–0:15 Opening (1–3)</w:t>
      </w:r>
    </w:p>
    <w:p>
      <w:pPr>
        <w:pStyle w:val="ListBullet"/>
      </w:pPr>
      <w:r>
        <w:t>Whole code present, only a subset expressed; identity comes from expression (neuron vs liver).</w:t>
      </w:r>
    </w:p>
    <w:p>
      <w:r>
        <w:rPr>
          <w:b/>
          <w:color w:val="1E2761"/>
          <w:sz w:val="28"/>
        </w:rPr>
        <w:t>0:15–0:55 Selective expression (4–5)</w:t>
      </w:r>
    </w:p>
    <w:p>
      <w:pPr>
        <w:pStyle w:val="ListBullet"/>
      </w:pPr>
      <w:r>
        <w:t>~9% of the lexicon per surah (157/1702) ~ ~half the genome per cell; 72 housekeeping roots vs 476 single-surah roots.</w:t>
      </w:r>
    </w:p>
    <w:p>
      <w:r>
        <w:rPr>
          <w:b/>
          <w:color w:val="1E2761"/>
          <w:sz w:val="28"/>
        </w:rPr>
        <w:t>0:55–1:05 Break</w:t>
      </w:r>
    </w:p>
    <w:p>
      <w:r>
        <w:rPr>
          <w:b/>
          <w:color w:val="1E2761"/>
          <w:sz w:val="28"/>
        </w:rPr>
        <w:t>1:05–1:45 The switch &amp; staging (6–8)</w:t>
      </w:r>
    </w:p>
    <w:p>
      <w:pPr>
        <w:pStyle w:val="ListBullet"/>
      </w:pPr>
      <w:r>
        <w:t>Promoter/TF ~ syntax/occasion; context resolves sense (19.6% skeletons) ~ isoform choice; revelation order ~ developmental clock.</w:t>
      </w:r>
    </w:p>
    <w:p>
      <w:r>
        <w:rPr>
          <w:b/>
          <w:color w:val="1E2761"/>
          <w:sz w:val="28"/>
        </w:rPr>
        <w:t>1:45–2:15 Layers, conditions, silence (9–11)</w:t>
      </w:r>
    </w:p>
    <w:p>
      <w:pPr>
        <w:pStyle w:val="ListBullet"/>
      </w:pPr>
      <w:r>
        <w:t>Layered control; conditional/feedback expression; default is OFF (~91% of roots absent per surah).</w:t>
      </w:r>
    </w:p>
    <w:p>
      <w:r>
        <w:rPr>
          <w:b/>
          <w:color w:val="1E2761"/>
          <w:sz w:val="28"/>
        </w:rPr>
        <w:t>2:15–2:25 Break</w:t>
      </w:r>
    </w:p>
    <w:p>
      <w:r>
        <w:rPr>
          <w:b/>
          <w:color w:val="1E2761"/>
          <w:sz w:val="28"/>
        </w:rPr>
        <w:t>2:25–2:50 Dosage, masters, reversibility, co-reg (12,13a–13d)</w:t>
      </w:r>
    </w:p>
    <w:p>
      <w:pPr>
        <w:pStyle w:val="ListBullet"/>
      </w:pPr>
      <w:r>
        <w:t>Emphasis by repetition ~ dosage; central themes ~ master regulators; specification/naskh ~ reversible silencing; co-occurrence ~ co-expression; VALIDATION: theme predicts a root's surahs ~68% vs ~10%.</w:t>
      </w:r>
    </w:p>
    <w:p>
      <w:r>
        <w:rPr>
          <w:b/>
          <w:color w:val="1E2761"/>
          <w:sz w:val="28"/>
        </w:rPr>
        <w:t>2:50–3:00 Audit, synthesis, takeaway (14–16)</w:t>
      </w:r>
    </w:p>
    <w:p>
      <w:pPr>
        <w:pStyle w:val="ListBullet"/>
      </w:pPr>
      <w:r>
        <w:t>✓ shared control logic validated; ✗ molecular vs interpretive machinery; ~ staging detail untestable.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