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761"/>
          <w:sz w:val="40"/>
        </w:rPr>
        <w:t>Lecture 12 — Quiz Answer Key</w:t>
      </w:r>
    </w:p>
    <w:p>
      <w:r>
        <w:rPr>
          <w:i/>
          <w:color w:val="0E9D8C"/>
          <w:sz w:val="24"/>
        </w:rPr>
        <w:t>Instructor copy · with rationale</w:t>
      </w:r>
    </w:p>
    <w:p/>
    <w:p>
      <w:r>
        <w:rPr>
          <w:b w:val="0"/>
          <w:sz w:val="22"/>
        </w:rPr>
        <w:t>1. ~9% (mean 157 of ~1,702 roots per surah).</w:t>
      </w:r>
    </w:p>
    <w:p>
      <w:r>
        <w:rPr>
          <w:b w:val="0"/>
          <w:sz w:val="22"/>
        </w:rPr>
        <w:t>2. Housekeeping root (in 50+ surahs) ~ housekeeping gene; single-surah root ~ tissue-specific gene.</w:t>
      </w:r>
    </w:p>
    <w:p>
      <w:r>
        <w:rPr>
          <w:b w:val="0"/>
          <w:sz w:val="22"/>
        </w:rPr>
        <w:t>3. The surrounding context (syntax + occasion) — like a cell's context choosing a splice isoform.</w:t>
      </w:r>
    </w:p>
    <w:p>
      <w:r>
        <w:rPr>
          <w:b w:val="0"/>
          <w:sz w:val="22"/>
        </w:rPr>
        <w:t>4. A staged developmental program (genes switching on in temporal order).</w:t>
      </w:r>
    </w:p>
    <w:p>
      <w:r>
        <w:rPr>
          <w:b w:val="0"/>
          <w:sz w:val="22"/>
        </w:rPr>
        <w:t>5. OFF / repressed (roughly half the genome is actively silenced).</w:t>
      </w:r>
    </w:p>
    <w:p>
      <w:r>
        <w:rPr>
          <w:b w:val="0"/>
          <w:sz w:val="22"/>
        </w:rPr>
        <w:t>6. e.g. promoter &amp; enhancers ~ immediate syntax &amp; passage; epigenetic marks ~ occasion/whole-text framing.</w:t>
      </w:r>
    </w:p>
    <w:p>
      <w:r>
        <w:rPr>
          <w:b w:val="0"/>
          <w:sz w:val="22"/>
        </w:rPr>
        <w:t>7. A gene that controls many downstream genes; analogue: a central theme (tawḥīd, accountability) framing how passages are read.</w:t>
      </w:r>
    </w:p>
    <w:p>
      <w:r>
        <w:rPr>
          <w:b w:val="0"/>
          <w:sz w:val="22"/>
        </w:rPr>
        <w:t>8. Both Books hold far more than they express; CONTEXT selects which units are realized — expression, not possibility, makes the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