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color w:val="1E2761"/>
          <w:sz w:val="40"/>
        </w:rPr>
        <w:t>Lecture 13 — App &amp; Plot Guide</w:t>
      </w:r>
    </w:p>
    <w:p>
      <w:r>
        <w:rPr>
          <w:i/>
          <w:color w:val="0E9D8C"/>
          <w:sz w:val="24"/>
        </w:rPr>
        <w:t>Using the app at the whole-archive scale</w:t>
      </w:r>
    </w:p>
    <w:p/>
    <w:p>
      <w:r>
        <w:rPr>
          <w:b w:val="0"/>
          <w:sz w:val="22"/>
        </w:rPr>
        <w:t>Unit this lecture: whole SURAHS (al-Baqarah 2, al-Kawthar 108, al-Raḥmān 55).</w:t>
      </w:r>
    </w:p>
    <w:p>
      <w:r>
        <w:rPr>
          <w:b/>
          <w:color w:val="1E2761"/>
          <w:sz w:val="28"/>
        </w:rPr>
        <w:t>Live app tasks</w:t>
      </w:r>
    </w:p>
    <w:p>
      <w:pPr>
        <w:pStyle w:val="ListBullet"/>
      </w:pPr>
      <w:r>
        <w:t>Distinct-root count per surah (size distribution) → slides 3–4.</w:t>
      </w:r>
    </w:p>
    <w:p>
      <w:pPr>
        <w:pStyle w:val="ListBullet"/>
      </w:pPr>
      <w:r>
        <w:t>Muṣḥaf order vs revelation order for the first surahs → slides 5–6.</w:t>
      </w:r>
    </w:p>
    <w:p>
      <w:pPr>
        <w:pStyle w:val="ListBullet"/>
      </w:pPr>
      <w:r>
        <w:t>Count a refrain in al-Raḥmān → slide 13a.</w:t>
      </w:r>
    </w:p>
    <w:p>
      <w:pPr>
        <w:pStyle w:val="ListBullet"/>
      </w:pPr>
      <w:r>
        <w:t>Roots-per-ayah (density) for two surahs → slide 13c.</w:t>
      </w:r>
    </w:p>
    <w:p>
      <w:r>
        <w:rPr>
          <w:b/>
          <w:color w:val="1E2761"/>
          <w:sz w:val="28"/>
        </w:rPr>
        <w:t>Screenshot capture list</w:t>
      </w:r>
    </w:p>
    <w:p>
      <w:pPr>
        <w:pStyle w:val="ListNumber"/>
      </w:pPr>
      <w:r>
        <w:t>sshot-1: surah size distribution (root counts).</w:t>
      </w:r>
    </w:p>
    <w:p>
      <w:pPr>
        <w:pStyle w:val="ListNumber"/>
      </w:pPr>
      <w:r>
        <w:t>sshot-2: muṣḥaf vs revelation order table.</w:t>
      </w:r>
    </w:p>
    <w:p>
      <w:pPr>
        <w:pStyle w:val="ListNumber"/>
      </w:pPr>
      <w:r>
        <w:t>sshot-3: al-Raḥmān refrain count.</w:t>
      </w:r>
    </w:p>
    <w:p>
      <w:pPr>
        <w:pStyle w:val="ListNumber"/>
      </w:pPr>
      <w:r>
        <w:t>sshot-4: roots-per-ayah for two surahs.</w:t>
      </w:r>
    </w:p>
    <w:p>
      <w:r>
        <w:rPr>
          <w:b/>
          <w:color w:val="1E2761"/>
          <w:sz w:val="28"/>
        </w:rPr>
        <w:t>Plot ↔ slide map</w:t>
      </w:r>
    </w:p>
    <w:p>
      <w:pPr>
        <w:pStyle w:val="ListBullet"/>
      </w:pPr>
      <w:r>
        <w:t>Surah sizes ↔ slide 4; order axes ↔ slide 6; refrains ↔ 13a; density ↔ 13c.</w:t>
      </w:r>
    </w:p>
    <w:p>
      <w:r>
        <w:rPr>
          <w:b w:val="0"/>
          <w:sz w:val="22"/>
        </w:rPr>
        <w:t>Tip: this lecture works at the SURAH level — contrast al-Baqarah and al-Kawthar live.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