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al-Baqarah ~606 roots; median ~124; al-Kawthar ~3. Steeply skewed (heavy-tailed) — a few large containers, many small.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Muṣḥaf order does NOT follow revelation order; it roughly follows descending LENGTH (after al-Fātiḥa). Storage order ≠ chronological/functional order.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'فبأي آلاء ربكما تكذبان' repeats 31 times in al-Raḥmān — built-in structured repetition, resembling the genome's ~50% repetitive elements (architectural, not filler).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Roots-per-ayah varies; short surahs can be concept-dense, long ones often repeat/dwell — information density varies by container, like gene density across chromosomes.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A standard surah:ayah coordinate lets any reader locate the same verse — the textual analogue of a reference genome assembly (a shared map over the archive).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Shared: unequal partitioning, storage-order ≠ use-order, compaction with access, clustering, a reference map, organizing 'non-coding' bulk. Differing force: the genome's architecture is shaped by physics/evolution, the muṣḥaf's by authorship/tradition.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