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14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A power-law: most nodes have few links, a few hubs have very many.</w:t>
      </w:r>
    </w:p>
    <w:p>
      <w:r>
        <w:rPr>
          <w:b w:val="0"/>
          <w:sz w:val="22"/>
        </w:rPr>
        <w:t>2. Word hub: الله / رب; protein hub: p53 / ubiquitin.</w:t>
      </w:r>
    </w:p>
    <w:p>
      <w:r>
        <w:rPr>
          <w:b w:val="0"/>
          <w:sz w:val="22"/>
        </w:rPr>
        <w:t>3. A densely-connected cluster: a theme (cosmology, mercy) in the text; a complex/pathway in the cell.</w:t>
      </w:r>
    </w:p>
    <w:p>
      <w:r>
        <w:rPr>
          <w:b w:val="0"/>
          <w:sz w:val="22"/>
        </w:rPr>
        <w:t>4. Random nodes are usually leaves (removing them changes little); hubs hold the web together, so removing them fragments it.</w:t>
      </w:r>
    </w:p>
    <w:p>
      <w:r>
        <w:rPr>
          <w:b w:val="0"/>
          <w:sz w:val="22"/>
        </w:rPr>
        <w:t>5. New links favour already-connected nodes ('rich get richer') — it builds the hubs and the scale-free shape.</w:t>
      </w:r>
    </w:p>
    <w:p>
      <w:r>
        <w:rPr>
          <w:b w:val="0"/>
          <w:sz w:val="22"/>
        </w:rPr>
        <w:t>6. سماء-أرض (heaven-earth) or ليل-نهار (night-day) — high lift.</w:t>
      </w:r>
    </w:p>
    <w:p>
      <w:r>
        <w:rPr>
          <w:b w:val="0"/>
          <w:sz w:val="22"/>
        </w:rPr>
        <w:t>7. Its clustering coefficient (~0.42) far exceeds a random graph of the same size (~0.05).</w:t>
      </w:r>
    </w:p>
    <w:p>
      <w:r>
        <w:rPr>
          <w:b w:val="0"/>
          <w:sz w:val="22"/>
        </w:rPr>
        <w:t>8. A physical molecular binding (proteome) vs a statistical co-occurrence in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