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App &amp; Plot Guide</w:t>
      </w:r>
    </w:p>
    <w:p>
      <w:r>
        <w:rPr>
          <w:i/>
          <w:color w:val="0E9D8C"/>
          <w:sz w:val="24"/>
        </w:rPr>
        <w:t>Using the app for conservation &amp; motifs</w:t>
      </w:r>
    </w:p>
    <w:p/>
    <w:p>
      <w:r>
        <w:rPr>
          <w:b w:val="0"/>
          <w:sz w:val="22"/>
        </w:rPr>
        <w:t>Distinct material: name-pairs غفور رحيم, عزيز حكيم, سميع عليم; the basmala.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a name-pair verse-ending (غفور رحيم) → slide 4.</w:t>
      </w:r>
    </w:p>
    <w:p>
      <w:pPr>
        <w:pStyle w:val="ListBullet"/>
      </w:pPr>
      <w:r>
        <w:t>Test enrichment vs a random pairing → slides 8, 13.</w:t>
      </w:r>
    </w:p>
    <w:p>
      <w:pPr>
        <w:pStyle w:val="ListBullet"/>
      </w:pPr>
      <w:r>
        <w:t>Count basmala openings → slide 9.</w:t>
      </w:r>
    </w:p>
    <w:p>
      <w:pPr>
        <w:pStyle w:val="ListBullet"/>
      </w:pPr>
      <w:r>
        <w:t>Find surah-breadth of a name-pair → slide 12.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count of 'غفور رحيم' endings.</w:t>
      </w:r>
    </w:p>
    <w:p>
      <w:pPr>
        <w:pStyle w:val="ListNumber"/>
      </w:pPr>
      <w:r>
        <w:t>sshot-2: 'عزيز حكيم' count.</w:t>
      </w:r>
    </w:p>
    <w:p>
      <w:pPr>
        <w:pStyle w:val="ListNumber"/>
      </w:pPr>
      <w:r>
        <w:t>sshot-3: basmala opening count.</w:t>
      </w:r>
    </w:p>
    <w:p>
      <w:pPr>
        <w:pStyle w:val="ListNumber"/>
      </w:pPr>
      <w:r>
        <w:t>sshot-4: surah-breadth of a name-pair.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Formula counts ↔ slide 4; enrichment-vs-null ↔ slide 13; breadth ↔ slide 12.</w:t>
      </w:r>
    </w:p>
    <w:p>
      <w:r>
        <w:rPr>
          <w:b w:val="0"/>
          <w:sz w:val="22"/>
        </w:rPr>
        <w:t>Tip: count name-pairs live — they are this lecture's motifs (no single-root focus).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