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15 — Exercise Answer Key</w:t>
      </w:r>
    </w:p>
    <w:p>
      <w:r>
        <w:rPr>
          <w:i/>
          <w:color w:val="0E9D8C"/>
          <w:sz w:val="24"/>
        </w:rPr>
        <w:t>Instructor copy · formulae غفور رحيم/عزيز حكيم</w:t>
      </w:r>
    </w:p>
    <w:p/>
    <w:p>
      <w:r>
        <w:rPr>
          <w:b/>
          <w:color w:val="1E2761"/>
          <w:sz w:val="28"/>
        </w:rPr>
        <w:t>Task 1</w:t>
      </w:r>
    </w:p>
    <w:p>
      <w:r>
        <w:rPr>
          <w:b w:val="0"/>
          <w:sz w:val="22"/>
        </w:rPr>
        <w:t>'غفور رحيم' ends ~72 verses; 'عزيز حكيم' ~47. A small set of name-pairs punctuates the whole text. (Counts approximate.)</w:t>
      </w:r>
    </w:p>
    <w:p>
      <w:r>
        <w:rPr>
          <w:b/>
          <w:color w:val="1E2761"/>
          <w:sz w:val="28"/>
        </w:rPr>
        <w:t>Task 2</w:t>
      </w:r>
    </w:p>
    <w:p>
      <w:r>
        <w:rPr>
          <w:b w:val="0"/>
          <w:sz w:val="22"/>
        </w:rPr>
        <w:t>Yes — far above a random pairing (~2 expected). Enrichment beyond a null is what distinguishes a deliberate motif from coincidence, exactly as motif discovery scores over-representation vs a shuffled-sequence null.</w:t>
      </w:r>
    </w:p>
    <w:p>
      <w:r>
        <w:rPr>
          <w:b/>
          <w:color w:val="1E2761"/>
          <w:sz w:val="28"/>
        </w:rPr>
        <w:t>Task 3</w:t>
      </w:r>
    </w:p>
    <w:p>
      <w:r>
        <w:rPr>
          <w:b w:val="0"/>
          <w:sz w:val="22"/>
        </w:rPr>
        <w:t>The basmala opens 113 of 114 surahs. A 'start signal' is a fixed motif (ATG start codon, TATA box, Kozak) marking where a gene begins.</w:t>
      </w:r>
    </w:p>
    <w:p>
      <w:r>
        <w:rPr>
          <w:b/>
          <w:color w:val="1E2761"/>
          <w:sz w:val="28"/>
        </w:rPr>
        <w:t>Task 4</w:t>
      </w:r>
    </w:p>
    <w:p>
      <w:r>
        <w:rPr>
          <w:b w:val="0"/>
          <w:sz w:val="22"/>
        </w:rPr>
        <w:t>The two name-words are fixed; surrounding connectives vary. The fixed core ~ a protein's conserved (invariant) residues.</w:t>
      </w:r>
    </w:p>
    <w:p>
      <w:r>
        <w:rPr>
          <w:b/>
          <w:color w:val="1E2761"/>
          <w:sz w:val="28"/>
        </w:rPr>
        <w:t>Task 5</w:t>
      </w:r>
    </w:p>
    <w:p>
      <w:r>
        <w:rPr>
          <w:b w:val="0"/>
          <w:sz w:val="22"/>
        </w:rPr>
        <w:t>'عزيز حكيم' recurs across dozens of surahs/topics — breadth across contexts (like a motif conserved across many species) signals a fundamental, text-wide function.</w:t>
      </w:r>
    </w:p>
    <w:p>
      <w:r>
        <w:rPr>
          <w:b/>
          <w:color w:val="1E2761"/>
          <w:sz w:val="28"/>
        </w:rPr>
        <w:t>Reflection (model)</w:t>
      </w:r>
    </w:p>
    <w:p>
      <w:r>
        <w:rPr>
          <w:b w:val="0"/>
          <w:sz w:val="22"/>
        </w:rPr>
        <w:t>Across protein homologs, the positions that never change are the active site; across the Qur'an, the words that always recur in a formula are its load-bearing core. In both, constancy under variation — conservation — marks what is functional.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