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App &amp; Plot Guide</w:t>
      </w:r>
    </w:p>
    <w:p>
      <w:r>
        <w:rPr>
          <w:i/>
          <w:color w:val="0E9D8C"/>
          <w:sz w:val="24"/>
        </w:rPr>
        <w:t>Using the app for the addressee &amp; the unseen</w:t>
      </w:r>
    </w:p>
    <w:p/>
    <w:p>
      <w:r>
        <w:rPr>
          <w:b w:val="0"/>
          <w:sz w:val="22"/>
        </w:rPr>
        <w:t>Distinct vocabulary: جنّ, إنس, غيب, شهد, نفس, قلب, روح.</w:t>
      </w:r>
    </w:p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إنس vs جنّ and joint addresses → slide 4.</w:t>
      </w:r>
    </w:p>
    <w:p>
      <w:pPr>
        <w:pStyle w:val="ListBullet"/>
      </w:pPr>
      <w:r>
        <w:t>Count غيب vs شهد → slide 6.</w:t>
      </w:r>
    </w:p>
    <w:p>
      <w:pPr>
        <w:pStyle w:val="ListBullet"/>
      </w:pPr>
      <w:r>
        <w:t>Count the inner-self terms نفس/قلب/روح → slide 12c.</w:t>
      </w:r>
    </w:p>
    <w:p>
      <w:pPr>
        <w:pStyle w:val="ListBullet"/>
      </w:pPr>
      <w:r>
        <w:t>Locate the keys-of-the-unseen verse (6:59) → slides 7, appendix.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إنس vs جنّ counts.</w:t>
      </w:r>
    </w:p>
    <w:p>
      <w:pPr>
        <w:pStyle w:val="ListNumber"/>
      </w:pPr>
      <w:r>
        <w:t>sshot-2: غيب vs شهد counts.</w:t>
      </w:r>
    </w:p>
    <w:p>
      <w:pPr>
        <w:pStyle w:val="ListNumber"/>
      </w:pPr>
      <w:r>
        <w:t>sshot-3: نفس/قلب/روح counts.</w:t>
      </w:r>
    </w:p>
    <w:p>
      <w:pPr>
        <w:pStyle w:val="ListNumber"/>
      </w:pPr>
      <w:r>
        <w:t>sshot-4: 6:59 (keys of the unseen).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Addressee counts ↔ slide 4; seen/unseen ↔ slide 6; inner self ↔ 12c.</w:t>
      </w:r>
    </w:p>
    <w:p>
      <w:r>
        <w:rPr>
          <w:b w:val="0"/>
          <w:sz w:val="22"/>
        </w:rPr>
        <w:t>Tip: this lecture is about the method's EDGE — use the app to show the ghayb vocabulary is explicit, then discuss why it is unmeasurable.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