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16 — The Addressee</w:t>
      </w:r>
    </w:p>
    <w:p>
      <w:r>
        <w:rPr>
          <w:i/>
          <w:color w:val="0E9D8C"/>
          <w:sz w:val="24"/>
        </w:rPr>
        <w:t>Instructor Script · 3-hour session · the reader, and the edge of the method</w:t>
      </w:r>
    </w:p>
    <w:p/>
    <w:p>
      <w:r>
        <w:rPr>
          <w:b/>
          <w:sz w:val="22"/>
        </w:rPr>
        <w:t>Goal: identify who the Books address (human, jinn) and mark the honest LIMIT of the Two Books comparison — the unseen (ghayb), where empirical science is silent (not authoritative). Distinct vocabulary: جنّ, إنس, غيب, شهد, نفس.</w:t>
      </w:r>
    </w:p>
    <w:p>
      <w:r>
        <w:rPr>
          <w:b/>
          <w:color w:val="1E2761"/>
          <w:sz w:val="28"/>
        </w:rPr>
        <w:t>0:00–0:15 Opening (1–3)</w:t>
      </w:r>
    </w:p>
    <w:p>
      <w:pPr>
        <w:pStyle w:val="ListBullet"/>
      </w:pPr>
      <w:r>
        <w:t>Who is the text for? Human (primary) and jinn — both responsible readers. This lecture meets the method's edge.</w:t>
      </w:r>
    </w:p>
    <w:p>
      <w:r>
        <w:rPr>
          <w:b/>
          <w:color w:val="1E2761"/>
          <w:sz w:val="28"/>
        </w:rPr>
        <w:t>0:15–0:55 Dual address &amp; registers (4–6)</w:t>
      </w:r>
    </w:p>
    <w:p>
      <w:pPr>
        <w:pStyle w:val="ListBullet"/>
      </w:pPr>
      <w:r>
        <w:t>insān ~321 vs jinn ~30; shahāda (~123) vs ghayb (~59); jinn named ~30, measured 0.</w:t>
      </w:r>
    </w:p>
    <w:p>
      <w:r>
        <w:rPr>
          <w:b/>
          <w:color w:val="1E2761"/>
          <w:sz w:val="28"/>
        </w:rPr>
        <w:t>0:55–1:05 Break</w:t>
      </w:r>
    </w:p>
    <w:p>
      <w:r>
        <w:rPr>
          <w:b/>
          <w:color w:val="1E2761"/>
          <w:sz w:val="28"/>
        </w:rPr>
        <w:t>1:05–1:45 The boundary (7–9)</w:t>
      </w:r>
    </w:p>
    <w:p>
      <w:pPr>
        <w:pStyle w:val="ListBullet"/>
      </w:pPr>
      <w:r>
        <w:t>Observed → inferred → unobservable-in-principle; science answers the testable; jinn as a structural-but-unobservable parallel (fire/clay).</w:t>
      </w:r>
    </w:p>
    <w:p>
      <w:r>
        <w:rPr>
          <w:b/>
          <w:color w:val="1E2761"/>
          <w:sz w:val="28"/>
        </w:rPr>
        <w:t>1:45–2:15 The moral reader &amp; method limit (10–11)</w:t>
      </w:r>
    </w:p>
    <w:p>
      <w:pPr>
        <w:pStyle w:val="ListBullet"/>
      </w:pPr>
      <w:r>
        <w:t>Accountability (ḥisāb/ʿamal) is not an empirical measurement (is/ought); silence beyond the edge is not denial.</w:t>
      </w:r>
    </w:p>
    <w:p>
      <w:r>
        <w:rPr>
          <w:b/>
          <w:color w:val="1E2761"/>
          <w:sz w:val="28"/>
        </w:rPr>
        <w:t>2:15–2:25 Break</w:t>
      </w:r>
    </w:p>
    <w:p>
      <w:r>
        <w:rPr>
          <w:b/>
          <w:color w:val="1E2761"/>
          <w:sz w:val="28"/>
        </w:rPr>
        <w:t>2:25–2:50 Evidence, categories, the human bridge (12,12a–12c)</w:t>
      </w:r>
    </w:p>
    <w:p>
      <w:pPr>
        <w:pStyle w:val="ListBullet"/>
      </w:pPr>
      <w:r>
        <w:t>Testability defines the boundary (~90% testable, ~10% ghayb); kinds of evidence (testimony); categories of ghayb (past/hidden/future); even the human has an unseen side (consciousness; nafs/qalb/rūḥ).</w:t>
      </w:r>
    </w:p>
    <w:p>
      <w:r>
        <w:rPr>
          <w:b/>
          <w:color w:val="1E2761"/>
          <w:sz w:val="28"/>
        </w:rPr>
        <w:t>2:50–3:00 Audit, synthesis, takeaway (13–17)</w:t>
      </w:r>
    </w:p>
    <w:p>
      <w:pPr>
        <w:pStyle w:val="ListBullet"/>
      </w:pPr>
      <w:r>
        <w:t>Here ✗/~ dominate; the human is the seen/unseen bridge where both ladders ended; silence is integrity. Appendix: source verses.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