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Capstone Assignment — Read a Root Across the Two Books</w:t>
      </w:r>
    </w:p>
    <w:p>
      <w:r>
        <w:rPr>
          <w:i/>
          <w:color w:val="0E9D8C"/>
          <w:sz w:val="24"/>
        </w:rPr>
        <w:t>Choose your own root · full pipeline · app-driven</w:t>
      </w:r>
    </w:p>
    <w:p/>
    <w:p>
      <w:r>
        <w:rPr>
          <w:b/>
          <w:sz w:val="22"/>
        </w:rPr>
        <w:t>Pick ANY triliteral root NOT used as a worked example in class (avoid ص‑ب‑ر, ب‑ح‑ر, غ‑ف‑ر, ن‑ص‑ر). Walk it up the whole ladder and pair each rung with a biological echo. Submit a short report (~1500 words) + app screenshots.</w:t>
      </w:r>
    </w:p>
    <w:p>
      <w:r>
        <w:rPr>
          <w:b/>
          <w:color w:val="1E2761"/>
          <w:sz w:val="28"/>
        </w:rPr>
        <w:t>Required steps (one section each)</w:t>
      </w:r>
    </w:p>
    <w:p>
      <w:pPr>
        <w:pStyle w:val="ListNumber"/>
      </w:pPr>
      <w:r>
        <w:t>CODE (Pillar 1): show it is a triliteral root; list its forms from the app; pair with a triplet-coded gene.</w:t>
      </w:r>
    </w:p>
    <w:p>
      <w:pPr>
        <w:pStyle w:val="ListNumber"/>
      </w:pPr>
      <w:r>
        <w:t>ORDER (Pillar 2): find any anagram-sibling roots (same letters, new meaning); pair with frameshift/sequence-order.</w:t>
      </w:r>
    </w:p>
    <w:p>
      <w:pPr>
        <w:pStyle w:val="ListNumber"/>
      </w:pPr>
      <w:r>
        <w:t>FIELD &amp; NETWORK: map its semantic field and top co-occurrence partners; pair with a protein family/module.</w:t>
      </w:r>
    </w:p>
    <w:p>
      <w:pPr>
        <w:pStyle w:val="ListNumber"/>
      </w:pPr>
      <w:r>
        <w:t>EXPRESSION (Pillar 3): how many surahs express it; pair with tissue/condition-specific gene expression.</w:t>
      </w:r>
    </w:p>
    <w:p>
      <w:pPr>
        <w:pStyle w:val="ListNumber"/>
      </w:pPr>
      <w:r>
        <w:t>CONSERVATION: is it a recurring formula/theme? pair with a conserved motif.</w:t>
      </w:r>
    </w:p>
    <w:p>
      <w:pPr>
        <w:pStyle w:val="ListNumber"/>
      </w:pPr>
      <w:r>
        <w:t>VALIDATION: take one co-occurrence claim and test it against a null (lift / Monte-Carlo). Report the verdict.</w:t>
      </w:r>
    </w:p>
    <w:p>
      <w:pPr>
        <w:pStyle w:val="ListNumber"/>
      </w:pPr>
      <w:r>
        <w:t>AUDIT: give ✓ supported / ✗ breaks / ~ silent for your parallels. State what you do NOT claim.</w:t>
      </w:r>
    </w:p>
    <w:p>
      <w:r>
        <w:rPr>
          <w:b/>
          <w:color w:val="1E2761"/>
          <w:sz w:val="28"/>
        </w:rPr>
        <w:t>Rubric (100 pts)</w:t>
      </w:r>
    </w:p>
    <w:p>
      <w:pPr>
        <w:pStyle w:val="ListBullet"/>
      </w:pPr>
      <w:r>
        <w:t>Correct app-derived data, both worlds (25)</w:t>
      </w:r>
    </w:p>
    <w:p>
      <w:pPr>
        <w:pStyle w:val="ListBullet"/>
      </w:pPr>
      <w:r>
        <w:t>Each pillar applied accurately (20)</w:t>
      </w:r>
    </w:p>
    <w:p>
      <w:pPr>
        <w:pStyle w:val="ListBullet"/>
      </w:pPr>
      <w:r>
        <w:t>A real validation against a null, correctly interpreted (20)</w:t>
      </w:r>
    </w:p>
    <w:p>
      <w:pPr>
        <w:pStyle w:val="ListBullet"/>
      </w:pPr>
      <w:r>
        <w:t>Honest audit ✓/✗/~ with a stated non-claim (20)</w:t>
      </w:r>
    </w:p>
    <w:p>
      <w:pPr>
        <w:pStyle w:val="ListBullet"/>
      </w:pPr>
      <w:r>
        <w:t>Clarity, figures, and app screenshots (15)</w:t>
      </w:r>
    </w:p>
    <w:p>
      <w:r>
        <w:rPr>
          <w:b w:val="0"/>
          <w:sz w:val="22"/>
        </w:rPr>
        <w:t>Pass mark 60. Distinction ≥85 requires a non-trivial validation and a genuinely surprising ✗ or ~.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