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40" w:lineRule="auto"/>
        <w:jc w:val="center"/>
        <w:pBdr>
          <w:bottom w:val="single" w:sz="12" w:space="6" w:color="1E2761"/>
        </w:pBdr>
      </w:pPr>
      <w:r>
        <w:rPr>
          <w:rFonts w:ascii="Liberation Sans" w:hAnsi="Liberation Sans" w:cs="DejaVu Sans" w:eastAsia="DejaVu Sans"/>
          <w:b/>
          <w:i w:val="0"/>
          <w:color w:val="1E2761"/>
          <w:sz w:val="40"/>
        </w:rPr>
        <w:t>The Mystery Letters as Library Labels — A Simple Explanation of What the Disjoint Letters Do</w:t>
      </w:r>
    </w:p>
    <w:p>
      <w:pPr>
        <w:spacing w:after="160" w:before="0" w:line="240" w:lineRule="auto"/>
        <w:jc w:val="center"/>
      </w:pPr>
      <w:r>
        <w:rPr>
          <w:rFonts w:ascii="Liberation Serif" w:hAnsi="Liberation Serif" w:cs="DejaVu Sans" w:eastAsia="DejaVu Sans"/>
          <w:b/>
          <w:i/>
          <w:color w:val="606060"/>
          <w:sz w:val="23"/>
        </w:rPr>
        <w:t>A plain-language companion to the disjoint-letters study. Few technical words, many everyday pictures.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The puzzle in one breath</w:t>
      </w:r>
    </w:p>
    <w:p>
      <w:pPr>
        <w:spacing w:after="160" w:before="0" w:line="240" w:lineRule="auto"/>
        <w:jc w:val="both"/>
      </w:pPr>
      <w:r>
        <w:rPr>
          <w:rFonts w:ascii="Liberation Serif" w:hAnsi="Liberation Serif" w:cs="DejaVu Sans" w:eastAsia="DejaVu Sans"/>
          <w:b w:val="0"/>
          <w:i w:val="0"/>
          <w:color w:val="1C1C1C"/>
          <w:sz w:val="22"/>
        </w:rPr>
        <w:t xml:space="preserve">Twenty-nine chapters of the Qur'an begin with stray letters that spell no word — "A-L-M," "Ḥ-M," "A-L-R," "Q," "N," and a few more. For over a thousand years, people have wondered what they are for. This study does not guess at their secret meaning. It asks a plain, checkable question: do these letters </w:t>
      </w:r>
      <w:r>
        <w:rPr>
          <w:rFonts w:ascii="Liberation Serif" w:hAnsi="Liberation Serif" w:cs="DejaVu Sans" w:eastAsia="DejaVu Sans"/>
          <w:b w:val="0"/>
          <w:i/>
          <w:color w:val="1C1C1C"/>
          <w:sz w:val="22"/>
        </w:rPr>
        <w:t>do a job</w:t>
      </w:r>
      <w:r>
        <w:rPr>
          <w:rFonts w:ascii="Liberation Serif" w:hAnsi="Liberation Serif" w:cs="DejaVu Sans" w:eastAsia="DejaVu Sans"/>
          <w:b w:val="0"/>
          <w:i w:val="0"/>
          <w:color w:val="1C1C1C"/>
          <w:sz w:val="22"/>
        </w:rPr>
        <w:t xml:space="preserve">? And the answer it found, tested carefully, is yes — they behave like </w:t>
      </w:r>
      <w:r>
        <w:rPr>
          <w:rFonts w:ascii="Liberation Serif" w:hAnsi="Liberation Serif" w:cs="DejaVu Sans" w:eastAsia="DejaVu Sans"/>
          <w:b/>
          <w:i w:val="0"/>
          <w:color w:val="1C1C1C"/>
          <w:sz w:val="22"/>
        </w:rPr>
        <w:t>labels that group chapters together</w:t>
      </w:r>
      <w:r>
        <w:rPr>
          <w:rFonts w:ascii="Liberation Serif" w:hAnsi="Liberation Serif" w:cs="DejaVu Sans" w:eastAsia="DejaVu Sans"/>
          <w:b w:val="0"/>
          <w:i w:val="0"/>
          <w:color w:val="1C1C1C"/>
          <w:sz w:val="22"/>
        </w:rPr>
        <w:t xml:space="preserve">, the way a call number on a library book tells you which shelf-mates it belongs with. They don't describe what a chapter is </w:t>
      </w:r>
      <w:r>
        <w:rPr>
          <w:rFonts w:ascii="Liberation Serif" w:hAnsi="Liberation Serif" w:cs="DejaVu Sans" w:eastAsia="DejaVu Sans"/>
          <w:b w:val="0"/>
          <w:i/>
          <w:color w:val="1C1C1C"/>
          <w:sz w:val="22"/>
        </w:rPr>
        <w:t>about</w:t>
      </w:r>
      <w:r>
        <w:rPr>
          <w:rFonts w:ascii="Liberation Serif" w:hAnsi="Liberation Serif" w:cs="DejaVu Sans" w:eastAsia="DejaVu Sans"/>
          <w:b w:val="0"/>
          <w:i w:val="0"/>
          <w:color w:val="1C1C1C"/>
          <w:sz w:val="22"/>
        </w:rPr>
        <w:t xml:space="preserve">; they mark which chapters belong in the same </w:t>
      </w:r>
      <w:r>
        <w:rPr>
          <w:rFonts w:ascii="Liberation Serif" w:hAnsi="Liberation Serif" w:cs="DejaVu Sans" w:eastAsia="DejaVu Sans"/>
          <w:b w:val="0"/>
          <w:i/>
          <w:color w:val="1C1C1C"/>
          <w:sz w:val="22"/>
        </w:rPr>
        <w:t>family</w:t>
      </w:r>
      <w:r>
        <w:rPr>
          <w:rFonts w:ascii="Liberation Serif" w:hAnsi="Liberation Serif" w:cs="DejaVu Sans" w:eastAsia="DejaVu Sans"/>
          <w:b w:val="0"/>
          <w:i w:val="0"/>
          <w:color w:val="1C1C1C"/>
          <w:sz w:val="22"/>
        </w:rPr>
        <w:t>, and where that family sits.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Why "label," not "code"</w:t>
      </w:r>
    </w:p>
    <w:p>
      <w:pPr>
        <w:spacing w:after="160" w:before="0" w:line="240" w:lineRule="auto"/>
        <w:jc w:val="both"/>
      </w:pPr>
      <w:r>
        <w:rPr>
          <w:rFonts w:ascii="Liberation Serif" w:hAnsi="Liberation Serif" w:cs="DejaVu Sans" w:eastAsia="DejaVu Sans"/>
          <w:b w:val="0"/>
          <w:i w:val="0"/>
          <w:color w:val="1C1C1C"/>
          <w:sz w:val="22"/>
        </w:rPr>
        <w:t xml:space="preserve">Most attempts to crack the mystery letters look for hidden content — secret numbers, concealed words. We looked somewhere completely different: at </w:t>
      </w:r>
      <w:r>
        <w:rPr>
          <w:rFonts w:ascii="Liberation Serif" w:hAnsi="Liberation Serif" w:cs="DejaVu Sans" w:eastAsia="DejaVu Sans"/>
          <w:b w:val="0"/>
          <w:i/>
          <w:color w:val="1C1C1C"/>
          <w:sz w:val="22"/>
        </w:rPr>
        <w:t>organization</w:t>
      </w:r>
      <w:r>
        <w:rPr>
          <w:rFonts w:ascii="Liberation Serif" w:hAnsi="Liberation Serif" w:cs="DejaVu Sans" w:eastAsia="DejaVu Sans"/>
          <w:b w:val="0"/>
          <w:i w:val="0"/>
          <w:color w:val="1C1C1C"/>
          <w:sz w:val="22"/>
        </w:rPr>
        <w:t xml:space="preserve">. The clue came from earlier work in the same project. When we measured the </w:t>
      </w:r>
      <w:r>
        <w:rPr>
          <w:rFonts w:ascii="Liberation Serif" w:hAnsi="Liberation Serif" w:cs="DejaVu Sans" w:eastAsia="DejaVu Sans"/>
          <w:b w:val="0"/>
          <w:i/>
          <w:color w:val="1C1C1C"/>
          <w:sz w:val="22"/>
        </w:rPr>
        <w:t>content</w:t>
      </w:r>
      <w:r>
        <w:rPr>
          <w:rFonts w:ascii="Liberation Serif" w:hAnsi="Liberation Serif" w:cs="DejaVu Sans" w:eastAsia="DejaVu Sans"/>
          <w:b w:val="0"/>
          <w:i w:val="0"/>
          <w:color w:val="1C1C1C"/>
          <w:sz w:val="22"/>
        </w:rPr>
        <w:t xml:space="preserve"> of Qur'anic verses with every tool we had, we kept finding only "normal Arabic" — nothing special hidden inside the words themselves. The one thing that was genuinely special was always about </w:t>
      </w:r>
      <w:r>
        <w:rPr>
          <w:rFonts w:ascii="Liberation Serif" w:hAnsi="Liberation Serif" w:cs="DejaVu Sans" w:eastAsia="DejaVu Sans"/>
          <w:b w:val="0"/>
          <w:i/>
          <w:color w:val="1C1C1C"/>
          <w:sz w:val="22"/>
        </w:rPr>
        <w:t>arrangement</w:t>
      </w:r>
      <w:r>
        <w:rPr>
          <w:rFonts w:ascii="Liberation Serif" w:hAnsi="Liberation Serif" w:cs="DejaVu Sans" w:eastAsia="DejaVu Sans"/>
          <w:b w:val="0"/>
          <w:i w:val="0"/>
          <w:color w:val="1C1C1C"/>
          <w:sz w:val="22"/>
        </w:rPr>
        <w:t>: how the parts are laid out. So when we turned to the mystery letters, we didn't ask "what do they spell?" We asked "what do they organize?" — and that is the question that finally got a clear answer.</w:t>
      </w:r>
    </w:p>
    <w:p>
      <w:pPr>
        <w:spacing w:after="160" w:before="0" w:line="240" w:lineRule="auto"/>
        <w:jc w:val="both"/>
      </w:pPr>
      <w:r>
        <w:rPr>
          <w:rFonts w:ascii="Liberation Serif" w:hAnsi="Liberation Serif" w:cs="DejaVu Sans" w:eastAsia="DejaVu Sans"/>
          <w:b w:val="0"/>
          <w:i w:val="0"/>
          <w:color w:val="1C1C1C"/>
          <w:sz w:val="22"/>
        </w:rPr>
        <w:t>The picture to hold is a library. A call number like "QA76.73" on a book's spine tells you nothing about the story inside. But it tells you exactly where the book lives and which books are its neighbors. Our claim, in plain terms, is that the mystery letters are call numbers: A-L-M and Ḥ-M and A-L-R are not summaries of their chapters; they are labels that bundle certain chapters into families and place them together.</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What we actually checked</w:t>
      </w:r>
    </w:p>
    <w:p>
      <w:pPr>
        <w:spacing w:after="160" w:before="0" w:line="240" w:lineRule="auto"/>
        <w:jc w:val="both"/>
      </w:pPr>
      <w:r>
        <w:rPr>
          <w:rFonts w:ascii="Liberation Serif" w:hAnsi="Liberation Serif" w:cs="DejaVu Sans" w:eastAsia="DejaVu Sans"/>
          <w:b w:val="0"/>
          <w:i w:val="0"/>
          <w:color w:val="1C1C1C"/>
          <w:sz w:val="22"/>
        </w:rPr>
        <w:t xml:space="preserve">Here is the careful part, because it's easy to be fooled. The chapters with mystery letters tend to sit near each other anyway — so of course any grouping of them would </w:t>
      </w:r>
      <w:r>
        <w:rPr>
          <w:rFonts w:ascii="Liberation Serif" w:hAnsi="Liberation Serif" w:cs="DejaVu Sans" w:eastAsia="DejaVu Sans"/>
          <w:b w:val="0"/>
          <w:i/>
          <w:color w:val="1C1C1C"/>
          <w:sz w:val="22"/>
        </w:rPr>
        <w:t>look</w:t>
      </w:r>
      <w:r>
        <w:rPr>
          <w:rFonts w:ascii="Liberation Serif" w:hAnsi="Liberation Serif" w:cs="DejaVu Sans" w:eastAsia="DejaVu Sans"/>
          <w:b w:val="0"/>
          <w:i w:val="0"/>
          <w:color w:val="1C1C1C"/>
          <w:sz w:val="22"/>
        </w:rPr>
        <w:t xml:space="preserve"> clustered. To avoid that trap, we ran a stricter test. We froze those chapters exactly where they are, then </w:t>
      </w:r>
      <w:r>
        <w:rPr>
          <w:rFonts w:ascii="Liberation Serif" w:hAnsi="Liberation Serif" w:cs="DejaVu Sans" w:eastAsia="DejaVu Sans"/>
          <w:b w:val="0"/>
          <w:i/>
          <w:color w:val="1C1C1C"/>
          <w:sz w:val="22"/>
        </w:rPr>
        <w:t>shuffled the labels among them</w:t>
      </w:r>
      <w:r>
        <w:rPr>
          <w:rFonts w:ascii="Liberation Serif" w:hAnsi="Liberation Serif" w:cs="DejaVu Sans" w:eastAsia="DejaVu Sans"/>
          <w:b w:val="0"/>
          <w:i w:val="0"/>
          <w:color w:val="1C1C1C"/>
          <w:sz w:val="22"/>
        </w:rPr>
        <w:t xml:space="preserve"> — randomly reassigning which chapter gets "A-L-M," which gets "Ḥ-M," and so on — and asked: does the </w:t>
      </w:r>
      <w:r>
        <w:rPr>
          <w:rFonts w:ascii="Liberation Serif" w:hAnsi="Liberation Serif" w:cs="DejaVu Sans" w:eastAsia="DejaVu Sans"/>
          <w:b w:val="0"/>
          <w:i/>
          <w:color w:val="1C1C1C"/>
          <w:sz w:val="22"/>
        </w:rPr>
        <w:t>real</w:t>
      </w:r>
      <w:r>
        <w:rPr>
          <w:rFonts w:ascii="Liberation Serif" w:hAnsi="Liberation Serif" w:cs="DejaVu Sans" w:eastAsia="DejaVu Sans"/>
          <w:b w:val="0"/>
          <w:i w:val="0"/>
          <w:color w:val="1C1C1C"/>
          <w:sz w:val="22"/>
        </w:rPr>
        <w:t xml:space="preserve"> labeling group chapters together better than a random relabeling? This is the difference between "these chapters happen to be near each other" and "the </w:t>
      </w:r>
      <w:r>
        <w:rPr>
          <w:rFonts w:ascii="Liberation Serif" w:hAnsi="Liberation Serif" w:cs="DejaVu Sans" w:eastAsia="DejaVu Sans"/>
          <w:b w:val="0"/>
          <w:i/>
          <w:color w:val="1C1C1C"/>
          <w:sz w:val="22"/>
        </w:rPr>
        <w:t>specific label</w:t>
      </w:r>
      <w:r>
        <w:rPr>
          <w:rFonts w:ascii="Liberation Serif" w:hAnsi="Liberation Serif" w:cs="DejaVu Sans" w:eastAsia="DejaVu Sans"/>
          <w:b w:val="0"/>
          <w:i w:val="0"/>
          <w:color w:val="1C1C1C"/>
          <w:sz w:val="22"/>
        </w:rPr>
        <w:t xml:space="preserve"> marks a real family." It's a deliberately hard test to pass.</w:t>
      </w:r>
    </w:p>
    <w:p>
      <w:pPr>
        <w:spacing w:after="160" w:before="0" w:line="240" w:lineRule="auto"/>
        <w:jc w:val="both"/>
      </w:pPr>
      <w:r>
        <w:rPr>
          <w:rFonts w:ascii="Liberation Serif" w:hAnsi="Liberation Serif" w:cs="DejaVu Sans" w:eastAsia="DejaVu Sans"/>
          <w:b w:val="0"/>
          <w:i w:val="0"/>
          <w:color w:val="1C1C1C"/>
          <w:sz w:val="22"/>
        </w:rPr>
        <w:t xml:space="preserve">The real labeling passed overwhelmingly — the odds against it being a fluke were about one in fifty thousand. And it passed in </w:t>
      </w:r>
      <w:r>
        <w:rPr>
          <w:rFonts w:ascii="Liberation Serif" w:hAnsi="Liberation Serif" w:cs="DejaVu Sans" w:eastAsia="DejaVu Sans"/>
          <w:b w:val="0"/>
          <w:i/>
          <w:color w:val="1C1C1C"/>
          <w:sz w:val="22"/>
        </w:rPr>
        <w:t>two</w:t>
      </w:r>
      <w:r>
        <w:rPr>
          <w:rFonts w:ascii="Liberation Serif" w:hAnsi="Liberation Serif" w:cs="DejaVu Sans" w:eastAsia="DejaVu Sans"/>
          <w:b w:val="0"/>
          <w:i w:val="0"/>
          <w:color w:val="1C1C1C"/>
          <w:sz w:val="22"/>
        </w:rPr>
        <w:t xml:space="preserve"> different orderings: the order chapters appear in the book, and the order they were revealed (according to the traditional chronology). The headline example is breathtaking in its simplicity: the seven "Ḥ-M" chapters are chapters 40 through 46 — seven in a row in the book — and they were revealed in seven </w:t>
      </w:r>
      <w:r>
        <w:rPr>
          <w:rFonts w:ascii="Liberation Serif" w:hAnsi="Liberation Serif" w:cs="DejaVu Sans" w:eastAsia="DejaVu Sans"/>
          <w:b w:val="0"/>
          <w:i/>
          <w:color w:val="1C1C1C"/>
          <w:sz w:val="22"/>
        </w:rPr>
        <w:t>consecutive</w:t>
      </w:r>
      <w:r>
        <w:rPr>
          <w:rFonts w:ascii="Liberation Serif" w:hAnsi="Liberation Serif" w:cs="DejaVu Sans" w:eastAsia="DejaVu Sans"/>
          <w:b w:val="0"/>
          <w:i w:val="0"/>
          <w:color w:val="1C1C1C"/>
          <w:sz w:val="22"/>
        </w:rPr>
        <w:t xml:space="preserve"> slots, the 60th through the 66th revelations. Same label, seven chapters, an unbroken run in both the book and in time. The "A-L-R" family is chapters 10 to 15; they were revealed in consecutive slots too. Family after family, the same story: the label marks a real, tight cluster.</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A second job: marking the big chapters</w:t>
      </w:r>
    </w:p>
    <w:p>
      <w:pPr>
        <w:spacing w:after="160" w:before="0" w:line="240" w:lineRule="auto"/>
        <w:jc w:val="both"/>
      </w:pPr>
      <w:r>
        <w:rPr>
          <w:rFonts w:ascii="Liberation Serif" w:hAnsi="Liberation Serif" w:cs="DejaVu Sans" w:eastAsia="DejaVu Sans"/>
          <w:b w:val="0"/>
          <w:i w:val="0"/>
          <w:color w:val="1C1C1C"/>
          <w:sz w:val="22"/>
        </w:rPr>
        <w:t xml:space="preserve">The mystery letters do something else, too. They tend to sit on the </w:t>
      </w:r>
      <w:r>
        <w:rPr>
          <w:rFonts w:ascii="Liberation Serif" w:hAnsi="Liberation Serif" w:cs="DejaVu Sans" w:eastAsia="DejaVu Sans"/>
          <w:b w:val="0"/>
          <w:i/>
          <w:color w:val="1C1C1C"/>
          <w:sz w:val="22"/>
        </w:rPr>
        <w:t>long</w:t>
      </w:r>
      <w:r>
        <w:rPr>
          <w:rFonts w:ascii="Liberation Serif" w:hAnsi="Liberation Serif" w:cs="DejaVu Sans" w:eastAsia="DejaVu Sans"/>
          <w:b w:val="0"/>
          <w:i w:val="0"/>
          <w:color w:val="1C1C1C"/>
          <w:sz w:val="22"/>
        </w:rPr>
        <w:t xml:space="preserve"> chapters. The chapters with mystery letters have a typical length of about 85 verses; the chapters without them, about 26. That's a big, clear difference, and it's very unlikely to be chance. So the labels don't only group; they also flag the </w:t>
      </w:r>
      <w:r>
        <w:rPr>
          <w:rFonts w:ascii="Liberation Serif" w:hAnsi="Liberation Serif" w:cs="DejaVu Sans" w:eastAsia="DejaVu Sans"/>
          <w:b w:val="0"/>
          <w:i/>
          <w:color w:val="1C1C1C"/>
          <w:sz w:val="22"/>
        </w:rPr>
        <w:t>major</w:t>
      </w:r>
      <w:r>
        <w:rPr>
          <w:rFonts w:ascii="Liberation Serif" w:hAnsi="Liberation Serif" w:cs="DejaVu Sans" w:eastAsia="DejaVu Sans"/>
          <w:b w:val="0"/>
          <w:i w:val="0"/>
          <w:color w:val="1C1C1C"/>
          <w:sz w:val="22"/>
        </w:rPr>
        <w:t xml:space="preserve"> chapters of the book — like a special sticker that happens to appear on the thickest volumes on the shelf.</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What the letters do NOT do</w:t>
      </w:r>
    </w:p>
    <w:p>
      <w:pPr>
        <w:spacing w:after="160" w:before="0" w:line="240" w:lineRule="auto"/>
        <w:jc w:val="both"/>
      </w:pPr>
      <w:r>
        <w:rPr>
          <w:rFonts w:ascii="Liberation Serif" w:hAnsi="Liberation Serif" w:cs="DejaVu Sans" w:eastAsia="DejaVu Sans"/>
          <w:b w:val="0"/>
          <w:i w:val="0"/>
          <w:color w:val="1C1C1C"/>
          <w:sz w:val="22"/>
        </w:rPr>
        <w:t xml:space="preserve">Now the honest part, the part that keeps this from being wishful thinking. If the labels were really about </w:t>
      </w:r>
      <w:r>
        <w:rPr>
          <w:rFonts w:ascii="Liberation Serif" w:hAnsi="Liberation Serif" w:cs="DejaVu Sans" w:eastAsia="DejaVu Sans"/>
          <w:b w:val="0"/>
          <w:i/>
          <w:color w:val="1C1C1C"/>
          <w:sz w:val="22"/>
        </w:rPr>
        <w:t>content</w:t>
      </w:r>
      <w:r>
        <w:rPr>
          <w:rFonts w:ascii="Liberation Serif" w:hAnsi="Liberation Serif" w:cs="DejaVu Sans" w:eastAsia="DejaVu Sans"/>
          <w:b w:val="0"/>
          <w:i w:val="0"/>
          <w:color w:val="1C1C1C"/>
          <w:sz w:val="22"/>
        </w:rPr>
        <w:t xml:space="preserve"> — if "Ḥ-M" chapters shared a theme or a vocabulary — then chapters with the same label should </w:t>
      </w:r>
      <w:r>
        <w:rPr>
          <w:rFonts w:ascii="Liberation Serif" w:hAnsi="Liberation Serif" w:cs="DejaVu Sans" w:eastAsia="DejaVu Sans"/>
          <w:b w:val="0"/>
          <w:i/>
          <w:color w:val="1C1C1C"/>
          <w:sz w:val="22"/>
        </w:rPr>
        <w:t>read</w:t>
      </w:r>
      <w:r>
        <w:rPr>
          <w:rFonts w:ascii="Liberation Serif" w:hAnsi="Liberation Serif" w:cs="DejaVu Sans" w:eastAsia="DejaVu Sans"/>
          <w:b w:val="0"/>
          <w:i w:val="0"/>
          <w:color w:val="1C1C1C"/>
          <w:sz w:val="22"/>
        </w:rPr>
        <w:t xml:space="preserve"> alike. We checked. They don't. Group the chapters by their actual word-content and the families dissolve; same-label chapters are no more alike in content than a random regrouping would be. The label tells you </w:t>
      </w:r>
      <w:r>
        <w:rPr>
          <w:rFonts w:ascii="Liberation Serif" w:hAnsi="Liberation Serif" w:cs="DejaVu Sans" w:eastAsia="DejaVu Sans"/>
          <w:b w:val="0"/>
          <w:i/>
          <w:color w:val="1C1C1C"/>
          <w:sz w:val="22"/>
        </w:rPr>
        <w:t>where</w:t>
      </w:r>
      <w:r>
        <w:rPr>
          <w:rFonts w:ascii="Liberation Serif" w:hAnsi="Liberation Serif" w:cs="DejaVu Sans" w:eastAsia="DejaVu Sans"/>
          <w:b w:val="0"/>
          <w:i w:val="0"/>
          <w:color w:val="1C1C1C"/>
          <w:sz w:val="22"/>
        </w:rPr>
        <w:t xml:space="preserve"> and </w:t>
      </w:r>
      <w:r>
        <w:rPr>
          <w:rFonts w:ascii="Liberation Serif" w:hAnsi="Liberation Serif" w:cs="DejaVu Sans" w:eastAsia="DejaVu Sans"/>
          <w:b w:val="0"/>
          <w:i/>
          <w:color w:val="1C1C1C"/>
          <w:sz w:val="22"/>
        </w:rPr>
        <w:t>when</w:t>
      </w:r>
      <w:r>
        <w:rPr>
          <w:rFonts w:ascii="Liberation Serif" w:hAnsi="Liberation Serif" w:cs="DejaVu Sans" w:eastAsia="DejaVu Sans"/>
          <w:b w:val="0"/>
          <w:i w:val="0"/>
          <w:color w:val="1C1C1C"/>
          <w:sz w:val="22"/>
        </w:rPr>
        <w:t xml:space="preserve">, not </w:t>
      </w:r>
      <w:r>
        <w:rPr>
          <w:rFonts w:ascii="Liberation Serif" w:hAnsi="Liberation Serif" w:cs="DejaVu Sans" w:eastAsia="DejaVu Sans"/>
          <w:b w:val="0"/>
          <w:i/>
          <w:color w:val="1C1C1C"/>
          <w:sz w:val="22"/>
        </w:rPr>
        <w:t>what</w:t>
      </w:r>
      <w:r>
        <w:rPr>
          <w:rFonts w:ascii="Liberation Serif" w:hAnsi="Liberation Serif" w:cs="DejaVu Sans" w:eastAsia="DejaVu Sans"/>
          <w:b w:val="0"/>
          <w:i w:val="0"/>
          <w:color w:val="1C1C1C"/>
          <w:sz w:val="22"/>
        </w:rPr>
        <w:t>. A call number, exactly — it places the book; it doesn't summarize it.</w:t>
      </w:r>
    </w:p>
    <w:p>
      <w:pPr>
        <w:spacing w:after="160" w:before="0" w:line="240" w:lineRule="auto"/>
        <w:jc w:val="both"/>
      </w:pPr>
      <w:r>
        <w:rPr>
          <w:rFonts w:ascii="Liberation Serif" w:hAnsi="Liberation Serif" w:cs="DejaVu Sans" w:eastAsia="DejaVu Sans"/>
          <w:b w:val="0"/>
          <w:i w:val="0"/>
          <w:color w:val="1C1C1C"/>
          <w:sz w:val="22"/>
        </w:rPr>
        <w:t xml:space="preserve">And we have to tell one more honest story, because it's the most instructive thing we found. There's a famous claim that a chapter's mystery letters are unusually </w:t>
      </w:r>
      <w:r>
        <w:rPr>
          <w:rFonts w:ascii="Liberation Serif" w:hAnsi="Liberation Serif" w:cs="DejaVu Sans" w:eastAsia="DejaVu Sans"/>
          <w:b w:val="0"/>
          <w:i/>
          <w:color w:val="1C1C1C"/>
          <w:sz w:val="22"/>
        </w:rPr>
        <w:t>frequent</w:t>
      </w:r>
      <w:r>
        <w:rPr>
          <w:rFonts w:ascii="Liberation Serif" w:hAnsi="Liberation Serif" w:cs="DejaVu Sans" w:eastAsia="DejaVu Sans"/>
          <w:b w:val="0"/>
          <w:i w:val="0"/>
          <w:color w:val="1C1C1C"/>
          <w:sz w:val="22"/>
        </w:rPr>
        <w:t xml:space="preserve"> inside that chapter — that "A-L-M" chapters are somehow rich in the letters A, L, and M. We tested it, and at first it looked spectacular: the letters landed right at the top of the frequency list, with odds against chance under one in a thousand. It looked like a discovery. But it was a mirage. When we asked the </w:t>
      </w:r>
      <w:r>
        <w:rPr>
          <w:rFonts w:ascii="Liberation Serif" w:hAnsi="Liberation Serif" w:cs="DejaVu Sans" w:eastAsia="DejaVu Sans"/>
          <w:b w:val="0"/>
          <w:i/>
          <w:color w:val="1C1C1C"/>
          <w:sz w:val="22"/>
        </w:rPr>
        <w:t>right</w:t>
      </w:r>
      <w:r>
        <w:rPr>
          <w:rFonts w:ascii="Liberation Serif" w:hAnsi="Liberation Serif" w:cs="DejaVu Sans" w:eastAsia="DejaVu Sans"/>
          <w:b w:val="0"/>
          <w:i w:val="0"/>
          <w:color w:val="1C1C1C"/>
          <w:sz w:val="22"/>
        </w:rPr>
        <w:t xml:space="preserve"> question — are those letters </w:t>
      </w:r>
      <w:r>
        <w:rPr>
          <w:rFonts w:ascii="Liberation Serif" w:hAnsi="Liberation Serif" w:cs="DejaVu Sans" w:eastAsia="DejaVu Sans"/>
          <w:b w:val="0"/>
          <w:i/>
          <w:color w:val="1C1C1C"/>
          <w:sz w:val="22"/>
        </w:rPr>
        <w:t>more</w:t>
      </w:r>
      <w:r>
        <w:rPr>
          <w:rFonts w:ascii="Liberation Serif" w:hAnsi="Liberation Serif" w:cs="DejaVu Sans" w:eastAsia="DejaVu Sans"/>
          <w:b w:val="0"/>
          <w:i w:val="0"/>
          <w:color w:val="1C1C1C"/>
          <w:sz w:val="22"/>
        </w:rPr>
        <w:t xml:space="preserve"> common in their own chapter than the same letters are in </w:t>
      </w:r>
      <w:r>
        <w:rPr>
          <w:rFonts w:ascii="Liberation Serif" w:hAnsi="Liberation Serif" w:cs="DejaVu Sans" w:eastAsia="DejaVu Sans"/>
          <w:b w:val="0"/>
          <w:i/>
          <w:color w:val="1C1C1C"/>
          <w:sz w:val="22"/>
        </w:rPr>
        <w:t>other</w:t>
      </w:r>
      <w:r>
        <w:rPr>
          <w:rFonts w:ascii="Liberation Serif" w:hAnsi="Liberation Serif" w:cs="DejaVu Sans" w:eastAsia="DejaVu Sans"/>
          <w:b w:val="0"/>
          <w:i w:val="0"/>
          <w:color w:val="1C1C1C"/>
          <w:sz w:val="22"/>
        </w:rPr>
        <w:t xml:space="preserve"> chapters? — the effect vanished completely: not one of the twenty-nine chapters showed a real difference. The reason is almost funny: A, L, and M are simply the three most common letters in all of Arabic. They're near the top of </w:t>
      </w:r>
      <w:r>
        <w:rPr>
          <w:rFonts w:ascii="Liberation Serif" w:hAnsi="Liberation Serif" w:cs="DejaVu Sans" w:eastAsia="DejaVu Sans"/>
          <w:b w:val="0"/>
          <w:i/>
          <w:color w:val="1C1C1C"/>
          <w:sz w:val="22"/>
        </w:rPr>
        <w:t>every</w:t>
      </w:r>
      <w:r>
        <w:rPr>
          <w:rFonts w:ascii="Liberation Serif" w:hAnsi="Liberation Serif" w:cs="DejaVu Sans" w:eastAsia="DejaVu Sans"/>
          <w:b w:val="0"/>
          <w:i w:val="0"/>
          <w:color w:val="1C1C1C"/>
          <w:sz w:val="22"/>
        </w:rPr>
        <w:t xml:space="preserve"> chapter. Finding them near the top of their own chapter is like being amazed that the sea is full of water. We keep this story up front, because it shows exactly how a thrilling result can be an illusion, and how the right comparison dissolves it.</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A pattern in time, too</w:t>
      </w:r>
    </w:p>
    <w:p>
      <w:pPr>
        <w:spacing w:after="160" w:before="0" w:line="240" w:lineRule="auto"/>
        <w:jc w:val="both"/>
      </w:pPr>
      <w:r>
        <w:rPr>
          <w:rFonts w:ascii="Liberation Serif" w:hAnsi="Liberation Serif" w:cs="DejaVu Sans" w:eastAsia="DejaVu Sans"/>
          <w:b w:val="0"/>
          <w:i w:val="0"/>
          <w:color w:val="1C1C1C"/>
          <w:sz w:val="22"/>
        </w:rPr>
        <w:t xml:space="preserve">There's one more layer, and it's elegant. The </w:t>
      </w:r>
      <w:r>
        <w:rPr>
          <w:rFonts w:ascii="Liberation Serif" w:hAnsi="Liberation Serif" w:cs="DejaVu Sans" w:eastAsia="DejaVu Sans"/>
          <w:b w:val="0"/>
          <w:i/>
          <w:color w:val="1C1C1C"/>
          <w:sz w:val="22"/>
        </w:rPr>
        <w:t>kind</w:t>
      </w:r>
      <w:r>
        <w:rPr>
          <w:rFonts w:ascii="Liberation Serif" w:hAnsi="Liberation Serif" w:cs="DejaVu Sans" w:eastAsia="DejaVu Sans"/>
          <w:b w:val="0"/>
          <w:i w:val="0"/>
          <w:color w:val="1C1C1C"/>
          <w:sz w:val="22"/>
        </w:rPr>
        <w:t xml:space="preserve"> of label tracks </w:t>
      </w:r>
      <w:r>
        <w:rPr>
          <w:rFonts w:ascii="Liberation Serif" w:hAnsi="Liberation Serif" w:cs="DejaVu Sans" w:eastAsia="DejaVu Sans"/>
          <w:b w:val="0"/>
          <w:i/>
          <w:color w:val="1C1C1C"/>
          <w:sz w:val="22"/>
        </w:rPr>
        <w:t>when</w:t>
      </w:r>
      <w:r>
        <w:rPr>
          <w:rFonts w:ascii="Liberation Serif" w:hAnsi="Liberation Serif" w:cs="DejaVu Sans" w:eastAsia="DejaVu Sans"/>
          <w:b w:val="0"/>
          <w:i w:val="0"/>
          <w:color w:val="1C1C1C"/>
          <w:sz w:val="22"/>
        </w:rPr>
        <w:t xml:space="preserve"> the chapter was revealed. The single letters and short labels (Q, N, Ṣ, Ṭ-H, Y-S) all belong to the earlier period of revelation. The big multi-letter families (A-L-R, Ḥ-M, A-L-M) belong to the later Meccan period. And one odd label, "A-L-M-R," is the lone latecomer from the Medinan period — and it sits, like a variant, right inside the "A-L-R" stretch of the book. So the labels aren't scattered randomly in time; they come in waves, simple ones earlier, the big families later. It's the kind of orderly pattern you'd expect from a labeling </w:t>
      </w:r>
      <w:r>
        <w:rPr>
          <w:rFonts w:ascii="Liberation Serif" w:hAnsi="Liberation Serif" w:cs="DejaVu Sans" w:eastAsia="DejaVu Sans"/>
          <w:b w:val="0"/>
          <w:i/>
          <w:color w:val="1C1C1C"/>
          <w:sz w:val="22"/>
        </w:rPr>
        <w:t>system</w:t>
      </w:r>
      <w:r>
        <w:rPr>
          <w:rFonts w:ascii="Liberation Serif" w:hAnsi="Liberation Serif" w:cs="DejaVu Sans" w:eastAsia="DejaVu Sans"/>
          <w:b w:val="0"/>
          <w:i w:val="0"/>
          <w:color w:val="1C1C1C"/>
          <w:sz w:val="22"/>
        </w:rPr>
        <w:t>, not from accident.</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Putting it together: the pointer picture</w:t>
      </w:r>
    </w:p>
    <w:p>
      <w:pPr>
        <w:spacing w:after="160" w:before="0" w:line="240" w:lineRule="auto"/>
        <w:jc w:val="both"/>
      </w:pPr>
      <w:r>
        <w:rPr>
          <w:rFonts w:ascii="Liberation Serif" w:hAnsi="Liberation Serif" w:cs="DejaVu Sans" w:eastAsia="DejaVu Sans"/>
          <w:b w:val="0"/>
          <w:i w:val="0"/>
          <w:color w:val="1C1C1C"/>
          <w:sz w:val="22"/>
        </w:rPr>
        <w:t xml:space="preserve">Borrowing a word from computers: a "pointer" is not information itself; it's a </w:t>
      </w:r>
      <w:r>
        <w:rPr>
          <w:rFonts w:ascii="Liberation Serif" w:hAnsi="Liberation Serif" w:cs="DejaVu Sans" w:eastAsia="DejaVu Sans"/>
          <w:b w:val="0"/>
          <w:i/>
          <w:color w:val="1C1C1C"/>
          <w:sz w:val="22"/>
        </w:rPr>
        <w:t>reference</w:t>
      </w:r>
      <w:r>
        <w:rPr>
          <w:rFonts w:ascii="Liberation Serif" w:hAnsi="Liberation Serif" w:cs="DejaVu Sans" w:eastAsia="DejaVu Sans"/>
          <w:b w:val="0"/>
          <w:i w:val="0"/>
          <w:color w:val="1C1C1C"/>
          <w:sz w:val="22"/>
        </w:rPr>
        <w:t xml:space="preserve"> that points to where information lives and groups things that share it. That is exactly how the mystery letters behave. A mystery-letter opening is a pointer. It tags a family of chapters that are together in the book, together in time, and large in size — while saying nothing about their content. The letters address a family; they don't describe it. That single idea ties together everything we found: the clustering, the consecutive revelations, the long chapters, and the </w:t>
      </w:r>
      <w:r>
        <w:rPr>
          <w:rFonts w:ascii="Liberation Serif" w:hAnsi="Liberation Serif" w:cs="DejaVu Sans" w:eastAsia="DejaVu Sans"/>
          <w:b w:val="0"/>
          <w:i/>
          <w:color w:val="1C1C1C"/>
          <w:sz w:val="22"/>
        </w:rPr>
        <w:t>absence</w:t>
      </w:r>
      <w:r>
        <w:rPr>
          <w:rFonts w:ascii="Liberation Serif" w:hAnsi="Liberation Serif" w:cs="DejaVu Sans" w:eastAsia="DejaVu Sans"/>
          <w:b w:val="0"/>
          <w:i w:val="0"/>
          <w:color w:val="1C1C1C"/>
          <w:sz w:val="22"/>
        </w:rPr>
        <w:t xml:space="preserve"> of any shared theme. They are an index, a catalog, a set of labels — and a remarkably well-organized one.</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The library, in more detail</w:t>
      </w:r>
    </w:p>
    <w:p>
      <w:pPr>
        <w:spacing w:after="160" w:before="0" w:line="240" w:lineRule="auto"/>
        <w:jc w:val="both"/>
      </w:pPr>
      <w:r>
        <w:rPr>
          <w:rFonts w:ascii="Liberation Serif" w:hAnsi="Liberation Serif" w:cs="DejaVu Sans" w:eastAsia="DejaVu Sans"/>
          <w:b w:val="0"/>
          <w:i w:val="0"/>
          <w:color w:val="1C1C1C"/>
          <w:sz w:val="22"/>
        </w:rPr>
        <w:t xml:space="preserve">Let's stay with the library image, because it carries the whole idea. Walk into a big library and look at a single book's spine. The call number — say, a string of letters and digits — is meaningless as a </w:t>
      </w:r>
      <w:r>
        <w:rPr>
          <w:rFonts w:ascii="Liberation Serif" w:hAnsi="Liberation Serif" w:cs="DejaVu Sans" w:eastAsia="DejaVu Sans"/>
          <w:b w:val="0"/>
          <w:i/>
          <w:color w:val="1C1C1C"/>
          <w:sz w:val="22"/>
        </w:rPr>
        <w:t>story</w:t>
      </w:r>
      <w:r>
        <w:rPr>
          <w:rFonts w:ascii="Liberation Serif" w:hAnsi="Liberation Serif" w:cs="DejaVu Sans" w:eastAsia="DejaVu Sans"/>
          <w:b w:val="0"/>
          <w:i w:val="0"/>
          <w:color w:val="1C1C1C"/>
          <w:sz w:val="22"/>
        </w:rPr>
        <w:t xml:space="preserve">. It won't tell you whether the book is sad or funny, true or invented. But it is doing two quiet, powerful jobs. First, it </w:t>
      </w:r>
      <w:r>
        <w:rPr>
          <w:rFonts w:ascii="Liberation Serif" w:hAnsi="Liberation Serif" w:cs="DejaVu Sans" w:eastAsia="DejaVu Sans"/>
          <w:b w:val="0"/>
          <w:i/>
          <w:color w:val="1C1C1C"/>
          <w:sz w:val="22"/>
        </w:rPr>
        <w:t>groups</w:t>
      </w:r>
      <w:r>
        <w:rPr>
          <w:rFonts w:ascii="Liberation Serif" w:hAnsi="Liberation Serif" w:cs="DejaVu Sans" w:eastAsia="DejaVu Sans"/>
          <w:b w:val="0"/>
          <w:i w:val="0"/>
          <w:color w:val="1C1C1C"/>
          <w:sz w:val="22"/>
        </w:rPr>
        <w:t xml:space="preserve">: every book with a related call number is about a related subject area and sits together on the shelf. Second, it </w:t>
      </w:r>
      <w:r>
        <w:rPr>
          <w:rFonts w:ascii="Liberation Serif" w:hAnsi="Liberation Serif" w:cs="DejaVu Sans" w:eastAsia="DejaVu Sans"/>
          <w:b w:val="0"/>
          <w:i/>
          <w:color w:val="1C1C1C"/>
          <w:sz w:val="22"/>
        </w:rPr>
        <w:t>places</w:t>
      </w:r>
      <w:r>
        <w:rPr>
          <w:rFonts w:ascii="Liberation Serif" w:hAnsi="Liberation Serif" w:cs="DejaVu Sans" w:eastAsia="DejaVu Sans"/>
          <w:b w:val="0"/>
          <w:i w:val="0"/>
          <w:color w:val="1C1C1C"/>
          <w:sz w:val="22"/>
        </w:rPr>
        <w:t>: it tells you exactly where in the building to walk. The label is pure organization. It is, if you like, the opposite of content — it exists precisely so you don't have to read every book to find your way.</w:t>
      </w:r>
    </w:p>
    <w:p>
      <w:pPr>
        <w:spacing w:after="160" w:before="0" w:line="240" w:lineRule="auto"/>
        <w:jc w:val="both"/>
      </w:pPr>
      <w:r>
        <w:rPr>
          <w:rFonts w:ascii="Liberation Serif" w:hAnsi="Liberation Serif" w:cs="DejaVu Sans" w:eastAsia="DejaVu Sans"/>
          <w:b w:val="0"/>
          <w:i w:val="0"/>
          <w:color w:val="1C1C1C"/>
          <w:sz w:val="22"/>
        </w:rPr>
        <w:t xml:space="preserve">Now map that onto the mystery letters. "Ḥ-M" is a call number. The seven chapters that carry it are shelved together (chapters 40–46) and were "acquired" together (revealed in seven consecutive slots). "A-L-R" is another call number, and its chapters cluster too. The labels group and they place — and, just like real call numbers, they tell you nothing about the </w:t>
      </w:r>
      <w:r>
        <w:rPr>
          <w:rFonts w:ascii="Liberation Serif" w:hAnsi="Liberation Serif" w:cs="DejaVu Sans" w:eastAsia="DejaVu Sans"/>
          <w:b w:val="0"/>
          <w:i/>
          <w:color w:val="1C1C1C"/>
          <w:sz w:val="22"/>
        </w:rPr>
        <w:t>story</w:t>
      </w:r>
      <w:r>
        <w:rPr>
          <w:rFonts w:ascii="Liberation Serif" w:hAnsi="Liberation Serif" w:cs="DejaVu Sans" w:eastAsia="DejaVu Sans"/>
          <w:b w:val="0"/>
          <w:i w:val="0"/>
          <w:color w:val="1C1C1C"/>
          <w:sz w:val="22"/>
        </w:rPr>
        <w:t xml:space="preserve"> of any single chapter. When we tested whether same-label chapters share a theme, they didn't, which is exactly what you'd expect of a call number and exactly what you would </w:t>
      </w:r>
      <w:r>
        <w:rPr>
          <w:rFonts w:ascii="Liberation Serif" w:hAnsi="Liberation Serif" w:cs="DejaVu Sans" w:eastAsia="DejaVu Sans"/>
          <w:b w:val="0"/>
          <w:i/>
          <w:color w:val="1C1C1C"/>
          <w:sz w:val="22"/>
        </w:rPr>
        <w:t>not</w:t>
      </w:r>
      <w:r>
        <w:rPr>
          <w:rFonts w:ascii="Liberation Serif" w:hAnsi="Liberation Serif" w:cs="DejaVu Sans" w:eastAsia="DejaVu Sans"/>
          <w:b w:val="0"/>
          <w:i w:val="0"/>
          <w:color w:val="1C1C1C"/>
          <w:sz w:val="22"/>
        </w:rPr>
        <w:t xml:space="preserve"> expect of a secret content-code. The library picture predicts the result before you run the test, which is a good sign you've understood the thing correctly.</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Why the "stricter test" was the whole game</w:t>
      </w:r>
    </w:p>
    <w:p>
      <w:pPr>
        <w:spacing w:after="160" w:before="0" w:line="240" w:lineRule="auto"/>
        <w:jc w:val="both"/>
      </w:pPr>
      <w:r>
        <w:rPr>
          <w:rFonts w:ascii="Liberation Serif" w:hAnsi="Liberation Serif" w:cs="DejaVu Sans" w:eastAsia="DejaVu Sans"/>
          <w:b w:val="0"/>
          <w:i w:val="0"/>
          <w:color w:val="1C1C1C"/>
          <w:sz w:val="22"/>
        </w:rPr>
        <w:t xml:space="preserve">It's worth slowing down on why we didn't just say "look, the Ḥ-M chapters are next to each other!" and call it a day. The trouble is that the mystery-letter chapters, as a whole, already tend to cluster — they're mostly from one period, mostly long. So </w:t>
      </w:r>
      <w:r>
        <w:rPr>
          <w:rFonts w:ascii="Liberation Serif" w:hAnsi="Liberation Serif" w:cs="DejaVu Sans" w:eastAsia="DejaVu Sans"/>
          <w:b w:val="0"/>
          <w:i/>
          <w:color w:val="1C1C1C"/>
          <w:sz w:val="22"/>
        </w:rPr>
        <w:t>any</w:t>
      </w:r>
      <w:r>
        <w:rPr>
          <w:rFonts w:ascii="Liberation Serif" w:hAnsi="Liberation Serif" w:cs="DejaVu Sans" w:eastAsia="DejaVu Sans"/>
          <w:b w:val="0"/>
          <w:i w:val="0"/>
          <w:color w:val="1C1C1C"/>
          <w:sz w:val="22"/>
        </w:rPr>
        <w:t xml:space="preserve"> way of grouping them would look somewhat clustered, even a random way. If you only compared them to </w:t>
      </w:r>
      <w:r>
        <w:rPr>
          <w:rFonts w:ascii="Liberation Serif" w:hAnsi="Liberation Serif" w:cs="DejaVu Sans" w:eastAsia="DejaVu Sans"/>
          <w:b w:val="0"/>
          <w:i/>
          <w:color w:val="1C1C1C"/>
          <w:sz w:val="22"/>
        </w:rPr>
        <w:t>random chapters from the whole book</w:t>
      </w:r>
      <w:r>
        <w:rPr>
          <w:rFonts w:ascii="Liberation Serif" w:hAnsi="Liberation Serif" w:cs="DejaVu Sans" w:eastAsia="DejaVu Sans"/>
          <w:b w:val="0"/>
          <w:i w:val="0"/>
          <w:color w:val="1C1C1C"/>
          <w:sz w:val="22"/>
        </w:rPr>
        <w:t xml:space="preserve">, you'd get an impressive-looking result that actually proves nothing about the </w:t>
      </w:r>
      <w:r>
        <w:rPr>
          <w:rFonts w:ascii="Liberation Serif" w:hAnsi="Liberation Serif" w:cs="DejaVu Sans" w:eastAsia="DejaVu Sans"/>
          <w:b w:val="0"/>
          <w:i/>
          <w:color w:val="1C1C1C"/>
          <w:sz w:val="22"/>
        </w:rPr>
        <w:t>specific</w:t>
      </w:r>
      <w:r>
        <w:rPr>
          <w:rFonts w:ascii="Liberation Serif" w:hAnsi="Liberation Serif" w:cs="DejaVu Sans" w:eastAsia="DejaVu Sans"/>
          <w:b w:val="0"/>
          <w:i w:val="0"/>
          <w:color w:val="1C1C1C"/>
          <w:sz w:val="22"/>
        </w:rPr>
        <w:t xml:space="preserve"> labels.</w:t>
      </w:r>
    </w:p>
    <w:p>
      <w:pPr>
        <w:spacing w:after="160" w:before="0" w:line="240" w:lineRule="auto"/>
        <w:jc w:val="both"/>
      </w:pPr>
      <w:r>
        <w:rPr>
          <w:rFonts w:ascii="Liberation Serif" w:hAnsi="Liberation Serif" w:cs="DejaVu Sans" w:eastAsia="DejaVu Sans"/>
          <w:b w:val="0"/>
          <w:i w:val="0"/>
          <w:color w:val="1C1C1C"/>
          <w:sz w:val="22"/>
        </w:rPr>
        <w:t xml:space="preserve">The fix is the "shuffle the labels" test. Keep the mystery-letter chapters exactly where they are, and only scramble </w:t>
      </w:r>
      <w:r>
        <w:rPr>
          <w:rFonts w:ascii="Liberation Serif" w:hAnsi="Liberation Serif" w:cs="DejaVu Sans" w:eastAsia="DejaVu Sans"/>
          <w:b w:val="0"/>
          <w:i/>
          <w:color w:val="1C1C1C"/>
          <w:sz w:val="22"/>
        </w:rPr>
        <w:t>which label</w:t>
      </w:r>
      <w:r>
        <w:rPr>
          <w:rFonts w:ascii="Liberation Serif" w:hAnsi="Liberation Serif" w:cs="DejaVu Sans" w:eastAsia="DejaVu Sans"/>
          <w:b w:val="0"/>
          <w:i w:val="0"/>
          <w:color w:val="1C1C1C"/>
          <w:sz w:val="22"/>
        </w:rPr>
        <w:t xml:space="preserve"> each one wears. Now you're asking the sharp question: does the </w:t>
      </w:r>
      <w:r>
        <w:rPr>
          <w:rFonts w:ascii="Liberation Serif" w:hAnsi="Liberation Serif" w:cs="DejaVu Sans" w:eastAsia="DejaVu Sans"/>
          <w:b w:val="0"/>
          <w:i/>
          <w:color w:val="1C1C1C"/>
          <w:sz w:val="22"/>
        </w:rPr>
        <w:t>real</w:t>
      </w:r>
      <w:r>
        <w:rPr>
          <w:rFonts w:ascii="Liberation Serif" w:hAnsi="Liberation Serif" w:cs="DejaVu Sans" w:eastAsia="DejaVu Sans"/>
          <w:b w:val="0"/>
          <w:i w:val="0"/>
          <w:color w:val="1C1C1C"/>
          <w:sz w:val="22"/>
        </w:rPr>
        <w:t xml:space="preserve"> assignment of labels to chapters group them better than a </w:t>
      </w:r>
      <w:r>
        <w:rPr>
          <w:rFonts w:ascii="Liberation Serif" w:hAnsi="Liberation Serif" w:cs="DejaVu Sans" w:eastAsia="DejaVu Sans"/>
          <w:b w:val="0"/>
          <w:i/>
          <w:color w:val="1C1C1C"/>
          <w:sz w:val="22"/>
        </w:rPr>
        <w:t>random</w:t>
      </w:r>
      <w:r>
        <w:rPr>
          <w:rFonts w:ascii="Liberation Serif" w:hAnsi="Liberation Serif" w:cs="DejaVu Sans" w:eastAsia="DejaVu Sans"/>
          <w:b w:val="0"/>
          <w:i w:val="0"/>
          <w:color w:val="1C1C1C"/>
          <w:sz w:val="22"/>
        </w:rPr>
        <w:t xml:space="preserve"> assignment of the same labels to the same chapters? If the answer is yes — and it was, by about fifty-thousand-to-one — then the specific label is carrying real grouping information, over and above the background fact that these chapters cluster anyway. This is the single most important move in the study, and it's a move most "amazing pattern" claims never make. It's the difference between "these things are near each other" and "this label </w:t>
      </w:r>
      <w:r>
        <w:rPr>
          <w:rFonts w:ascii="Liberation Serif" w:hAnsi="Liberation Serif" w:cs="DejaVu Sans" w:eastAsia="DejaVu Sans"/>
          <w:b w:val="0"/>
          <w:i/>
          <w:color w:val="1C1C1C"/>
          <w:sz w:val="22"/>
        </w:rPr>
        <w:t>means</w:t>
      </w:r>
      <w:r>
        <w:rPr>
          <w:rFonts w:ascii="Liberation Serif" w:hAnsi="Liberation Serif" w:cs="DejaVu Sans" w:eastAsia="DejaVu Sans"/>
          <w:b w:val="0"/>
          <w:i w:val="0"/>
          <w:color w:val="1C1C1C"/>
          <w:sz w:val="22"/>
        </w:rPr>
        <w:t xml:space="preserve"> they belong together."</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The honest ledger: what is new, what is old</w:t>
      </w:r>
    </w:p>
    <w:p>
      <w:pPr>
        <w:spacing w:after="160" w:before="0" w:line="240" w:lineRule="auto"/>
        <w:jc w:val="both"/>
      </w:pPr>
      <w:r>
        <w:rPr>
          <w:rFonts w:ascii="Liberation Serif" w:hAnsi="Liberation Serif" w:cs="DejaVu Sans" w:eastAsia="DejaVu Sans"/>
          <w:b w:val="0"/>
          <w:i w:val="0"/>
          <w:color w:val="1C1C1C"/>
          <w:sz w:val="22"/>
        </w:rPr>
        <w:t>A trustworthy study tells you which parts it discovered and which parts were already known. So, plainly:</w:t>
      </w:r>
    </w:p>
    <w:p>
      <w:pPr>
        <w:spacing w:after="160" w:before="0" w:line="240" w:lineRule="auto"/>
        <w:jc w:val="both"/>
      </w:pPr>
      <w:r>
        <w:rPr>
          <w:rFonts w:ascii="Liberation Serif" w:hAnsi="Liberation Serif" w:cs="DejaVu Sans" w:eastAsia="DejaVu Sans"/>
          <w:b w:val="0"/>
          <w:i w:val="0"/>
          <w:color w:val="1C1C1C"/>
          <w:sz w:val="22"/>
        </w:rPr>
        <w:t>Already known to traditional scholarship: that the Ḥ-M chapters (the "Ḥawāmīm") form a recognized group; that the A-L-M chapters are often discussed together; that the mystery-letter chapters are mostly from the Meccan period and tend to be long; that "A-L-M-R" is the lone Medinan one. None of that is our discovery. Scholars have noticed the families for centuries.</w:t>
      </w:r>
    </w:p>
    <w:p>
      <w:pPr>
        <w:spacing w:after="160" w:before="0" w:line="240" w:lineRule="auto"/>
        <w:jc w:val="both"/>
      </w:pPr>
      <w:r>
        <w:rPr>
          <w:rFonts w:ascii="Liberation Serif" w:hAnsi="Liberation Serif" w:cs="DejaVu Sans" w:eastAsia="DejaVu Sans"/>
          <w:b w:val="0"/>
          <w:i w:val="0"/>
          <w:color w:val="1C1C1C"/>
          <w:sz w:val="22"/>
        </w:rPr>
        <w:t xml:space="preserve">What this study adds: a </w:t>
      </w:r>
      <w:r>
        <w:rPr>
          <w:rFonts w:ascii="Liberation Serif" w:hAnsi="Liberation Serif" w:cs="DejaVu Sans" w:eastAsia="DejaVu Sans"/>
          <w:b w:val="0"/>
          <w:i/>
          <w:color w:val="1C1C1C"/>
          <w:sz w:val="22"/>
        </w:rPr>
        <w:t>rigorous test</w:t>
      </w:r>
      <w:r>
        <w:rPr>
          <w:rFonts w:ascii="Liberation Serif" w:hAnsi="Liberation Serif" w:cs="DejaVu Sans" w:eastAsia="DejaVu Sans"/>
          <w:b w:val="0"/>
          <w:i w:val="0"/>
          <w:color w:val="1C1C1C"/>
          <w:sz w:val="22"/>
        </w:rPr>
        <w:t xml:space="preserve"> that the grouping is real and not an accident of where these chapters happen to sit (the fifty-thousand-to-one result with the shuffle test); the </w:t>
      </w:r>
      <w:r>
        <w:rPr>
          <w:rFonts w:ascii="Liberation Serif" w:hAnsi="Liberation Serif" w:cs="DejaVu Sans" w:eastAsia="DejaVu Sans"/>
          <w:b w:val="0"/>
          <w:i/>
          <w:color w:val="1C1C1C"/>
          <w:sz w:val="22"/>
        </w:rPr>
        <w:t>measurement of the revelation-order clustering</w:t>
      </w:r>
      <w:r>
        <w:rPr>
          <w:rFonts w:ascii="Liberation Serif" w:hAnsi="Liberation Serif" w:cs="DejaVu Sans" w:eastAsia="DejaVu Sans"/>
          <w:b w:val="0"/>
          <w:i w:val="0"/>
          <w:color w:val="1C1C1C"/>
          <w:sz w:val="22"/>
        </w:rPr>
        <w:t xml:space="preserve">, which is the strongest and least-discussed part — the seven Ḥ-M chapters revealed in seven consecutive slots is the kind of fact you can only see with the chronology and the arithmetic together; the clear </w:t>
      </w:r>
      <w:r>
        <w:rPr>
          <w:rFonts w:ascii="Liberation Serif" w:hAnsi="Liberation Serif" w:cs="DejaVu Sans" w:eastAsia="DejaVu Sans"/>
          <w:b w:val="0"/>
          <w:i/>
          <w:color w:val="1C1C1C"/>
          <w:sz w:val="22"/>
        </w:rPr>
        <w:t>refutation</w:t>
      </w:r>
      <w:r>
        <w:rPr>
          <w:rFonts w:ascii="Liberation Serif" w:hAnsi="Liberation Serif" w:cs="DejaVu Sans" w:eastAsia="DejaVu Sans"/>
          <w:b w:val="0"/>
          <w:i w:val="0"/>
          <w:color w:val="1C1C1C"/>
          <w:sz w:val="22"/>
        </w:rPr>
        <w:t xml:space="preserve"> of the popular "the letters are frequent in their chapter" claim; and the unifying </w:t>
      </w:r>
      <w:r>
        <w:rPr>
          <w:rFonts w:ascii="Liberation Serif" w:hAnsi="Liberation Serif" w:cs="DejaVu Sans" w:eastAsia="DejaVu Sans"/>
          <w:b w:val="0"/>
          <w:i/>
          <w:color w:val="1C1C1C"/>
          <w:sz w:val="22"/>
        </w:rPr>
        <w:t>label/pointer picture</w:t>
      </w:r>
      <w:r>
        <w:rPr>
          <w:rFonts w:ascii="Liberation Serif" w:hAnsi="Liberation Serif" w:cs="DejaVu Sans" w:eastAsia="DejaVu Sans"/>
          <w:b w:val="0"/>
          <w:i w:val="0"/>
          <w:color w:val="1C1C1C"/>
          <w:sz w:val="22"/>
        </w:rPr>
        <w:t xml:space="preserve"> that ties grouping, timing, length, and the absence of shared content into one simple idea. So our contribution is mostly </w:t>
      </w:r>
      <w:r>
        <w:rPr>
          <w:rFonts w:ascii="Liberation Serif" w:hAnsi="Liberation Serif" w:cs="DejaVu Sans" w:eastAsia="DejaVu Sans"/>
          <w:b w:val="0"/>
          <w:i/>
          <w:color w:val="1C1C1C"/>
          <w:sz w:val="22"/>
        </w:rPr>
        <w:t>validation and framing</w:t>
      </w:r>
      <w:r>
        <w:rPr>
          <w:rFonts w:ascii="Liberation Serif" w:hAnsi="Liberation Serif" w:cs="DejaVu Sans" w:eastAsia="DejaVu Sans"/>
          <w:b w:val="0"/>
          <w:i w:val="0"/>
          <w:color w:val="1C1C1C"/>
          <w:sz w:val="22"/>
        </w:rPr>
        <w:t xml:space="preserve"> — turning an old qualitative observation into a measured, tested, well-explained result. We say that plainly rather than dress up old knowledge as a brand-new revelation.</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The honest limits</w:t>
      </w:r>
    </w:p>
    <w:p>
      <w:pPr>
        <w:spacing w:after="160" w:before="0" w:line="240" w:lineRule="auto"/>
        <w:jc w:val="both"/>
      </w:pPr>
      <w:r>
        <w:rPr>
          <w:rFonts w:ascii="Liberation Serif" w:hAnsi="Liberation Serif" w:cs="DejaVu Sans" w:eastAsia="DejaVu Sans"/>
          <w:b w:val="0"/>
          <w:i w:val="0"/>
          <w:color w:val="1C1C1C"/>
          <w:sz w:val="22"/>
        </w:rPr>
        <w:t>Every honest study has soft spots, and here are ours. The families themselves are old news; our value is the testing and the framing, not the existence of the groups. The revelation order we used is a traditional reconstruction, not a certainty, so the timing results lean on it. We did not have a separate, non-Qur'anic Arabic library to compare against — and to ask the deepest question (is "grouping by a shared opening symbol" special to this text, or do other Arabic books do it too?) you would need exactly such a comparison. The letters we worked with use some Persian-style forms, and we haven't yet re-checked everything on a stricter spelling. And the most tantalizing little observation — that the "mixed" labels like "A-L-M-R" sit at boundaries between families — rests on just one or two cases, so it's a hunch, not a result. None of this dents the main finding, which is large and survives a deliberately hard test; but all of it bounds how far you should push the interpretation.</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The bigger picture</w:t>
      </w:r>
    </w:p>
    <w:p>
      <w:pPr>
        <w:spacing w:after="160" w:before="0" w:line="240" w:lineRule="auto"/>
        <w:jc w:val="both"/>
      </w:pPr>
      <w:r>
        <w:rPr>
          <w:rFonts w:ascii="Liberation Serif" w:hAnsi="Liberation Serif" w:cs="DejaVu Sans" w:eastAsia="DejaVu Sans"/>
          <w:b w:val="0"/>
          <w:i w:val="0"/>
          <w:color w:val="1C1C1C"/>
          <w:sz w:val="22"/>
        </w:rPr>
        <w:t xml:space="preserve">Step way back and a single theme runs through this whole research program. We looked for the Qur'an's hidden structure in the </w:t>
      </w:r>
      <w:r>
        <w:rPr>
          <w:rFonts w:ascii="Liberation Serif" w:hAnsi="Liberation Serif" w:cs="DejaVu Sans" w:eastAsia="DejaVu Sans"/>
          <w:b w:val="0"/>
          <w:i/>
          <w:color w:val="1C1C1C"/>
          <w:sz w:val="22"/>
        </w:rPr>
        <w:t>content</w:t>
      </w:r>
      <w:r>
        <w:rPr>
          <w:rFonts w:ascii="Liberation Serif" w:hAnsi="Liberation Serif" w:cs="DejaVu Sans" w:eastAsia="DejaVu Sans"/>
          <w:b w:val="0"/>
          <w:i w:val="0"/>
          <w:color w:val="1C1C1C"/>
          <w:sz w:val="22"/>
        </w:rPr>
        <w:t xml:space="preserve"> of its words — letter counts, word frequencies, signal patterns — and found, again and again, only ordinary Arabic. The one place real, special structure kept turning up was </w:t>
      </w:r>
      <w:r>
        <w:rPr>
          <w:rFonts w:ascii="Liberation Serif" w:hAnsi="Liberation Serif" w:cs="DejaVu Sans" w:eastAsia="DejaVu Sans"/>
          <w:b w:val="0"/>
          <w:i/>
          <w:color w:val="1C1C1C"/>
          <w:sz w:val="22"/>
        </w:rPr>
        <w:t>organization</w:t>
      </w:r>
      <w:r>
        <w:rPr>
          <w:rFonts w:ascii="Liberation Serif" w:hAnsi="Liberation Serif" w:cs="DejaVu Sans" w:eastAsia="DejaVu Sans"/>
          <w:b w:val="0"/>
          <w:i w:val="0"/>
          <w:color w:val="1C1C1C"/>
          <w:sz w:val="22"/>
        </w:rPr>
        <w:t xml:space="preserve">: how the parts are repeated, grouped, arranged. The mystery letters are the cleanest example of all. Treated as a content puzzle for a thousand years, they turn out, when measured, to be an </w:t>
      </w:r>
      <w:r>
        <w:rPr>
          <w:rFonts w:ascii="Liberation Serif" w:hAnsi="Liberation Serif" w:cs="DejaVu Sans" w:eastAsia="DejaVu Sans"/>
          <w:b w:val="0"/>
          <w:i/>
          <w:color w:val="1C1C1C"/>
          <w:sz w:val="22"/>
        </w:rPr>
        <w:t>organizational</w:t>
      </w:r>
      <w:r>
        <w:rPr>
          <w:rFonts w:ascii="Liberation Serif" w:hAnsi="Liberation Serif" w:cs="DejaVu Sans" w:eastAsia="DejaVu Sans"/>
          <w:b w:val="0"/>
          <w:i w:val="0"/>
          <w:color w:val="1C1C1C"/>
          <w:sz w:val="22"/>
        </w:rPr>
        <w:t xml:space="preserve"> device — a labeling system. That fits the program's larger, carefully-stated conclusion: whatever measurable hidden structure the Qur'an has lives in its </w:t>
      </w:r>
      <w:r>
        <w:rPr>
          <w:rFonts w:ascii="Liberation Serif" w:hAnsi="Liberation Serif" w:cs="DejaVu Sans" w:eastAsia="DejaVu Sans"/>
          <w:b w:val="0"/>
          <w:i/>
          <w:color w:val="1C1C1C"/>
          <w:sz w:val="22"/>
        </w:rPr>
        <w:t>arrangement</w:t>
      </w:r>
      <w:r>
        <w:rPr>
          <w:rFonts w:ascii="Liberation Serif" w:hAnsi="Liberation Serif" w:cs="DejaVu Sans" w:eastAsia="DejaVu Sans"/>
          <w:b w:val="0"/>
          <w:i w:val="0"/>
          <w:color w:val="1C1C1C"/>
          <w:sz w:val="22"/>
        </w:rPr>
        <w:t>, not in the local content of its words.</w:t>
      </w:r>
    </w:p>
    <w:p>
      <w:pPr>
        <w:spacing w:after="160" w:before="0" w:line="240" w:lineRule="auto"/>
        <w:jc w:val="both"/>
      </w:pPr>
      <w:r>
        <w:rPr>
          <w:rFonts w:ascii="Liberation Serif" w:hAnsi="Liberation Serif" w:cs="DejaVu Sans" w:eastAsia="DejaVu Sans"/>
          <w:b w:val="0"/>
          <w:i w:val="0"/>
          <w:color w:val="1C1C1C"/>
          <w:sz w:val="22"/>
        </w:rPr>
        <w:t>This is, in its way, a satisfying place to find structure. A great library is organized by its catalog, not by the letter-frequencies of its books. A great building is organized by its floor plan, not by the chemistry of its bricks. If the Qur'an has a detectable design that survives hard testing, it makes sense that it would live at the level of arrangement — of how the chapters are grouped and ordered — and that is exactly where we found it.</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What we are careful not to claim</w:t>
      </w:r>
    </w:p>
    <w:p>
      <w:pPr>
        <w:spacing w:after="160" w:before="0" w:line="240" w:lineRule="auto"/>
        <w:jc w:val="both"/>
      </w:pPr>
      <w:r>
        <w:rPr>
          <w:rFonts w:ascii="Liberation Serif" w:hAnsi="Liberation Serif" w:cs="DejaVu Sans" w:eastAsia="DejaVu Sans"/>
          <w:b w:val="0"/>
          <w:i w:val="0"/>
          <w:color w:val="1C1C1C"/>
          <w:sz w:val="22"/>
        </w:rPr>
        <w:t xml:space="preserve">We do not claim a secret code. We do not claim a number-miracle. We do not even claim to have discovered the families — scholars knew them. We do not claim the labels carry a hidden meaning; in fact we showed they carry </w:t>
      </w:r>
      <w:r>
        <w:rPr>
          <w:rFonts w:ascii="Liberation Serif" w:hAnsi="Liberation Serif" w:cs="DejaVu Sans" w:eastAsia="DejaVu Sans"/>
          <w:b w:val="0"/>
          <w:i/>
          <w:color w:val="1C1C1C"/>
          <w:sz w:val="22"/>
        </w:rPr>
        <w:t>no</w:t>
      </w:r>
      <w:r>
        <w:rPr>
          <w:rFonts w:ascii="Liberation Serif" w:hAnsi="Liberation Serif" w:cs="DejaVu Sans" w:eastAsia="DejaVu Sans"/>
          <w:b w:val="0"/>
          <w:i w:val="0"/>
          <w:color w:val="1C1C1C"/>
          <w:sz w:val="22"/>
        </w:rPr>
        <w:t xml:space="preserve"> shared content. And we make no theological pronouncement about whether the book's order was fixed from the start or arranged later — our result holds in </w:t>
      </w:r>
      <w:r>
        <w:rPr>
          <w:rFonts w:ascii="Liberation Serif" w:hAnsi="Liberation Serif" w:cs="DejaVu Sans" w:eastAsia="DejaVu Sans"/>
          <w:b w:val="0"/>
          <w:i/>
          <w:color w:val="1C1C1C"/>
          <w:sz w:val="22"/>
        </w:rPr>
        <w:t>both</w:t>
      </w:r>
      <w:r>
        <w:rPr>
          <w:rFonts w:ascii="Liberation Serif" w:hAnsi="Liberation Serif" w:cs="DejaVu Sans" w:eastAsia="DejaVu Sans"/>
          <w:b w:val="0"/>
          <w:i w:val="0"/>
          <w:color w:val="1C1C1C"/>
          <w:sz w:val="22"/>
        </w:rPr>
        <w:t xml:space="preserve"> the book-order and the revelation-order, which is part of what makes it sturdy, but it doesn't settle that old debate. We claim exactly one thing, tested hard: the mystery letters are a real, validated labeling-and-placing system — pointers that group the long chapters into families coherent in book-order and in time, while saying nothing about content.</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The pictures to keep</w:t>
      </w:r>
    </w:p>
    <w:p>
      <w:pPr>
        <w:spacing w:after="160" w:before="0" w:line="240" w:lineRule="auto"/>
        <w:jc w:val="both"/>
      </w:pPr>
      <w:r>
        <w:rPr>
          <w:rFonts w:ascii="Liberation Serif" w:hAnsi="Liberation Serif" w:cs="DejaVu Sans" w:eastAsia="DejaVu Sans"/>
          <w:b w:val="0"/>
          <w:i w:val="0"/>
          <w:color w:val="1C1C1C"/>
          <w:sz w:val="22"/>
        </w:rPr>
        <w:t xml:space="preserve">Three images hold it all. </w:t>
      </w:r>
      <w:r>
        <w:rPr>
          <w:rFonts w:ascii="Liberation Serif" w:hAnsi="Liberation Serif" w:cs="DejaVu Sans" w:eastAsia="DejaVu Sans"/>
          <w:b w:val="0"/>
          <w:i/>
          <w:color w:val="1C1C1C"/>
          <w:sz w:val="22"/>
        </w:rPr>
        <w:t>The call number</w:t>
      </w:r>
      <w:r>
        <w:rPr>
          <w:rFonts w:ascii="Liberation Serif" w:hAnsi="Liberation Serif" w:cs="DejaVu Sans" w:eastAsia="DejaVu Sans"/>
          <w:b w:val="0"/>
          <w:i w:val="0"/>
          <w:color w:val="1C1C1C"/>
          <w:sz w:val="22"/>
        </w:rPr>
        <w:t xml:space="preserve">: the mystery letters are labels that group and place chapters, not summaries of their stories — which is why same-label chapters cluster but don't share a theme. </w:t>
      </w:r>
      <w:r>
        <w:rPr>
          <w:rFonts w:ascii="Liberation Serif" w:hAnsi="Liberation Serif" w:cs="DejaVu Sans" w:eastAsia="DejaVu Sans"/>
          <w:b w:val="0"/>
          <w:i/>
          <w:color w:val="1C1C1C"/>
          <w:sz w:val="22"/>
        </w:rPr>
        <w:t>The sea is wet</w:t>
      </w:r>
      <w:r>
        <w:rPr>
          <w:rFonts w:ascii="Liberation Serif" w:hAnsi="Liberation Serif" w:cs="DejaVu Sans" w:eastAsia="DejaVu Sans"/>
          <w:b w:val="0"/>
          <w:i w:val="0"/>
          <w:color w:val="1C1C1C"/>
          <w:sz w:val="22"/>
        </w:rPr>
        <w:t xml:space="preserve">: the "these letters are frequent in their chapter" claim collapsed because A, L, M are common in </w:t>
      </w:r>
      <w:r>
        <w:rPr>
          <w:rFonts w:ascii="Liberation Serif" w:hAnsi="Liberation Serif" w:cs="DejaVu Sans" w:eastAsia="DejaVu Sans"/>
          <w:b w:val="0"/>
          <w:i/>
          <w:color w:val="1C1C1C"/>
          <w:sz w:val="22"/>
        </w:rPr>
        <w:t>every</w:t>
      </w:r>
      <w:r>
        <w:rPr>
          <w:rFonts w:ascii="Liberation Serif" w:hAnsi="Liberation Serif" w:cs="DejaVu Sans" w:eastAsia="DejaVu Sans"/>
          <w:b w:val="0"/>
          <w:i w:val="0"/>
          <w:color w:val="1C1C1C"/>
          <w:sz w:val="22"/>
        </w:rPr>
        <w:t xml:space="preserve"> Arabic chapter, so finding them common proves nothing — the right comparison is "more common than elsewhere?", and the answer was no. </w:t>
      </w:r>
      <w:r>
        <w:rPr>
          <w:rFonts w:ascii="Liberation Serif" w:hAnsi="Liberation Serif" w:cs="DejaVu Sans" w:eastAsia="DejaVu Sans"/>
          <w:b w:val="0"/>
          <w:i/>
          <w:color w:val="1C1C1C"/>
          <w:sz w:val="22"/>
        </w:rPr>
        <w:t>Seven in a row</w:t>
      </w:r>
      <w:r>
        <w:rPr>
          <w:rFonts w:ascii="Liberation Serif" w:hAnsi="Liberation Serif" w:cs="DejaVu Sans" w:eastAsia="DejaVu Sans"/>
          <w:b w:val="0"/>
          <w:i w:val="0"/>
          <w:color w:val="1C1C1C"/>
          <w:sz w:val="22"/>
        </w:rPr>
        <w:t>: the seven Ḥ-M chapters, revealed in seven consecutive slots, is the kind of hidden order you can only see by lining up the chronology and counting — the signature of a labeling system, not a coincidence.</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Conclusion</w:t>
      </w:r>
    </w:p>
    <w:p>
      <w:pPr>
        <w:spacing w:after="160" w:before="0" w:line="240" w:lineRule="auto"/>
        <w:jc w:val="both"/>
      </w:pPr>
      <w:r>
        <w:rPr>
          <w:rFonts w:ascii="Liberation Serif" w:hAnsi="Liberation Serif" w:cs="DejaVu Sans" w:eastAsia="DejaVu Sans"/>
          <w:b w:val="0"/>
          <w:i w:val="0"/>
          <w:color w:val="1C1C1C"/>
          <w:sz w:val="22"/>
        </w:rPr>
        <w:t xml:space="preserve">After a long search that mostly, and honestly, came up empty — content statistics that turned out to be plain Arabic, a famous frequency claim that dissolved under the right test — the mystery letters gave us the project's strongest, best-tested result, and it is beautifully simple: they are labels. They group certain long chapters into families that sit together in the book and were revealed together in time, while carrying no shared meaning of their own. They are the Qur'an's call numbers. We found this not by guessing at secrets but by asking a plain question — what do they </w:t>
      </w:r>
      <w:r>
        <w:rPr>
          <w:rFonts w:ascii="Liberation Serif" w:hAnsi="Liberation Serif" w:cs="DejaVu Sans" w:eastAsia="DejaVu Sans"/>
          <w:b w:val="0"/>
          <w:i/>
          <w:color w:val="1C1C1C"/>
          <w:sz w:val="22"/>
        </w:rPr>
        <w:t>organize</w:t>
      </w:r>
      <w:r>
        <w:rPr>
          <w:rFonts w:ascii="Liberation Serif" w:hAnsi="Liberation Serif" w:cs="DejaVu Sans" w:eastAsia="DejaVu Sans"/>
          <w:b w:val="0"/>
          <w:i w:val="0"/>
          <w:color w:val="1C1C1C"/>
          <w:sz w:val="22"/>
        </w:rPr>
        <w:t xml:space="preserve">? — and answering it with a test hard enough to fail. The deepest lesson is the one the whole program keeps teaching: look for structure in how things are </w:t>
      </w:r>
      <w:r>
        <w:rPr>
          <w:rFonts w:ascii="Liberation Serif" w:hAnsi="Liberation Serif" w:cs="DejaVu Sans" w:eastAsia="DejaVu Sans"/>
          <w:b w:val="0"/>
          <w:i/>
          <w:color w:val="1C1C1C"/>
          <w:sz w:val="22"/>
        </w:rPr>
        <w:t>arranged</w:t>
      </w:r>
      <w:r>
        <w:rPr>
          <w:rFonts w:ascii="Liberation Serif" w:hAnsi="Liberation Serif" w:cs="DejaVu Sans" w:eastAsia="DejaVu Sans"/>
          <w:b w:val="0"/>
          <w:i w:val="0"/>
          <w:color w:val="1C1C1C"/>
          <w:sz w:val="22"/>
        </w:rPr>
        <w:t>, test it against the right comparison, keep the honest limits in view, and you can find, in an ancient mystery, something modest, measured, and real.</w:t>
      </w:r>
    </w:p>
    <w:p>
      <w:pPr>
        <w:spacing w:after="160" w:before="0" w:line="240" w:lineRule="auto"/>
        <w:jc w:val="both"/>
      </w:pPr>
      <w:r>
        <w:rPr>
          <w:rFonts w:ascii="Liberation Serif" w:hAnsi="Liberation Serif" w:cs="DejaVu Sans" w:eastAsia="DejaVu Sans"/>
          <w:b w:val="0"/>
          <w:i/>
          <w:color w:val="1C1C1C"/>
          <w:sz w:val="22"/>
        </w:rPr>
        <w:t>(This plain-language version uses no jargon by design; every figure it cites matches the formal version and is reproducible from the tokenized corpus.)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Why this puzzle resisted for so long</w:t>
      </w:r>
    </w:p>
    <w:p>
      <w:pPr>
        <w:spacing w:after="160" w:before="0" w:line="240" w:lineRule="auto"/>
        <w:jc w:val="both"/>
      </w:pPr>
      <w:r>
        <w:rPr>
          <w:rFonts w:ascii="Liberation Serif" w:hAnsi="Liberation Serif" w:cs="DejaVu Sans" w:eastAsia="DejaVu Sans"/>
          <w:b w:val="0"/>
          <w:i w:val="0"/>
          <w:color w:val="1C1C1C"/>
          <w:sz w:val="22"/>
        </w:rPr>
        <w:t xml:space="preserve">It is worth asking why such a simple answer — "they're labels" — took so long to come into focus. The reason is that almost everyone asked the wrong </w:t>
      </w:r>
      <w:r>
        <w:rPr>
          <w:rFonts w:ascii="Liberation Serif" w:hAnsi="Liberation Serif" w:cs="DejaVu Sans" w:eastAsia="DejaVu Sans"/>
          <w:b w:val="0"/>
          <w:i/>
          <w:color w:val="1C1C1C"/>
          <w:sz w:val="22"/>
        </w:rPr>
        <w:t>kind</w:t>
      </w:r>
      <w:r>
        <w:rPr>
          <w:rFonts w:ascii="Liberation Serif" w:hAnsi="Liberation Serif" w:cs="DejaVu Sans" w:eastAsia="DejaVu Sans"/>
          <w:b w:val="0"/>
          <w:i w:val="0"/>
          <w:color w:val="1C1C1C"/>
          <w:sz w:val="22"/>
        </w:rPr>
        <w:t xml:space="preserve"> of question. For centuries the mystery letters were treated as a </w:t>
      </w:r>
      <w:r>
        <w:rPr>
          <w:rFonts w:ascii="Liberation Serif" w:hAnsi="Liberation Serif" w:cs="DejaVu Sans" w:eastAsia="DejaVu Sans"/>
          <w:b w:val="0"/>
          <w:i/>
          <w:color w:val="1C1C1C"/>
          <w:sz w:val="22"/>
        </w:rPr>
        <w:t>content</w:t>
      </w:r>
      <w:r>
        <w:rPr>
          <w:rFonts w:ascii="Liberation Serif" w:hAnsi="Liberation Serif" w:cs="DejaVu Sans" w:eastAsia="DejaVu Sans"/>
          <w:b w:val="0"/>
          <w:i w:val="0"/>
          <w:color w:val="1C1C1C"/>
          <w:sz w:val="22"/>
        </w:rPr>
        <w:t xml:space="preserve"> riddle: what do they </w:t>
      </w:r>
      <w:r>
        <w:rPr>
          <w:rFonts w:ascii="Liberation Serif" w:hAnsi="Liberation Serif" w:cs="DejaVu Sans" w:eastAsia="DejaVu Sans"/>
          <w:b w:val="0"/>
          <w:i/>
          <w:color w:val="1C1C1C"/>
          <w:sz w:val="22"/>
        </w:rPr>
        <w:t>mean</w:t>
      </w:r>
      <w:r>
        <w:rPr>
          <w:rFonts w:ascii="Liberation Serif" w:hAnsi="Liberation Serif" w:cs="DejaVu Sans" w:eastAsia="DejaVu Sans"/>
          <w:b w:val="0"/>
          <w:i w:val="0"/>
          <w:color w:val="1C1C1C"/>
          <w:sz w:val="22"/>
        </w:rPr>
        <w:t xml:space="preserve">, what do they </w:t>
      </w:r>
      <w:r>
        <w:rPr>
          <w:rFonts w:ascii="Liberation Serif" w:hAnsi="Liberation Serif" w:cs="DejaVu Sans" w:eastAsia="DejaVu Sans"/>
          <w:b w:val="0"/>
          <w:i/>
          <w:color w:val="1C1C1C"/>
          <w:sz w:val="22"/>
        </w:rPr>
        <w:t>spell</w:t>
      </w:r>
      <w:r>
        <w:rPr>
          <w:rFonts w:ascii="Liberation Serif" w:hAnsi="Liberation Serif" w:cs="DejaVu Sans" w:eastAsia="DejaVu Sans"/>
          <w:b w:val="0"/>
          <w:i w:val="0"/>
          <w:color w:val="1C1C1C"/>
          <w:sz w:val="22"/>
        </w:rPr>
        <w:t xml:space="preserve">, what number do they </w:t>
      </w:r>
      <w:r>
        <w:rPr>
          <w:rFonts w:ascii="Liberation Serif" w:hAnsi="Liberation Serif" w:cs="DejaVu Sans" w:eastAsia="DejaVu Sans"/>
          <w:b w:val="0"/>
          <w:i/>
          <w:color w:val="1C1C1C"/>
          <w:sz w:val="22"/>
        </w:rPr>
        <w:t>hide</w:t>
      </w:r>
      <w:r>
        <w:rPr>
          <w:rFonts w:ascii="Liberation Serif" w:hAnsi="Liberation Serif" w:cs="DejaVu Sans" w:eastAsia="DejaVu Sans"/>
          <w:b w:val="0"/>
          <w:i w:val="0"/>
          <w:color w:val="1C1C1C"/>
          <w:sz w:val="22"/>
        </w:rPr>
        <w:t xml:space="preserve">? Those questions assume the letters are a message to be decoded. But a label is not a message. A call number is not a story. If you spend a thousand years trying to read the call number as if it were the book, you will never crack it, because there is nothing there to read — the call number's whole purpose is to </w:t>
      </w:r>
      <w:r>
        <w:rPr>
          <w:rFonts w:ascii="Liberation Serif" w:hAnsi="Liberation Serif" w:cs="DejaVu Sans" w:eastAsia="DejaVu Sans"/>
          <w:b w:val="0"/>
          <w:i/>
          <w:color w:val="1C1C1C"/>
          <w:sz w:val="22"/>
        </w:rPr>
        <w:t>organize</w:t>
      </w:r>
      <w:r>
        <w:rPr>
          <w:rFonts w:ascii="Liberation Serif" w:hAnsi="Liberation Serif" w:cs="DejaVu Sans" w:eastAsia="DejaVu Sans"/>
          <w:b w:val="0"/>
          <w:i w:val="0"/>
          <w:color w:val="1C1C1C"/>
          <w:sz w:val="22"/>
        </w:rPr>
        <w:t xml:space="preserve">, not to </w:t>
      </w:r>
      <w:r>
        <w:rPr>
          <w:rFonts w:ascii="Liberation Serif" w:hAnsi="Liberation Serif" w:cs="DejaVu Sans" w:eastAsia="DejaVu Sans"/>
          <w:b w:val="0"/>
          <w:i/>
          <w:color w:val="1C1C1C"/>
          <w:sz w:val="22"/>
        </w:rPr>
        <w:t>say</w:t>
      </w:r>
      <w:r>
        <w:rPr>
          <w:rFonts w:ascii="Liberation Serif" w:hAnsi="Liberation Serif" w:cs="DejaVu Sans" w:eastAsia="DejaVu Sans"/>
          <w:b w:val="0"/>
          <w:i w:val="0"/>
          <w:color w:val="1C1C1C"/>
          <w:sz w:val="22"/>
        </w:rPr>
        <w:t xml:space="preserve">. The breakthrough, such as it is, was simply changing the question from "what do they mean?" to "what do they do?" Once you ask what they </w:t>
      </w:r>
      <w:r>
        <w:rPr>
          <w:rFonts w:ascii="Liberation Serif" w:hAnsi="Liberation Serif" w:cs="DejaVu Sans" w:eastAsia="DejaVu Sans"/>
          <w:b w:val="0"/>
          <w:i/>
          <w:color w:val="1C1C1C"/>
          <w:sz w:val="22"/>
        </w:rPr>
        <w:t>do</w:t>
      </w:r>
      <w:r>
        <w:rPr>
          <w:rFonts w:ascii="Liberation Serif" w:hAnsi="Liberation Serif" w:cs="DejaVu Sans" w:eastAsia="DejaVu Sans"/>
          <w:b w:val="0"/>
          <w:i w:val="0"/>
          <w:color w:val="1C1C1C"/>
          <w:sz w:val="22"/>
        </w:rPr>
        <w:t>, the data answer quickly and clearly: they group and they place.</w:t>
      </w:r>
    </w:p>
    <w:p>
      <w:pPr>
        <w:spacing w:after="160" w:before="0" w:line="240" w:lineRule="auto"/>
        <w:jc w:val="both"/>
      </w:pPr>
      <w:r>
        <w:rPr>
          <w:rFonts w:ascii="Liberation Serif" w:hAnsi="Liberation Serif" w:cs="DejaVu Sans" w:eastAsia="DejaVu Sans"/>
          <w:b w:val="0"/>
          <w:i w:val="0"/>
          <w:color w:val="1C1C1C"/>
          <w:sz w:val="22"/>
        </w:rPr>
        <w:t xml:space="preserve">This is a general lesson, well beyond scripture. Many long-standing puzzles are stubborn not because they're deep but because they're misframed. Ask a thing what it </w:t>
      </w:r>
      <w:r>
        <w:rPr>
          <w:rFonts w:ascii="Liberation Serif" w:hAnsi="Liberation Serif" w:cs="DejaVu Sans" w:eastAsia="DejaVu Sans"/>
          <w:b w:val="0"/>
          <w:i/>
          <w:color w:val="1C1C1C"/>
          <w:sz w:val="22"/>
        </w:rPr>
        <w:t>means</w:t>
      </w:r>
      <w:r>
        <w:rPr>
          <w:rFonts w:ascii="Liberation Serif" w:hAnsi="Liberation Serif" w:cs="DejaVu Sans" w:eastAsia="DejaVu Sans"/>
          <w:b w:val="0"/>
          <w:i w:val="0"/>
          <w:color w:val="1C1C1C"/>
          <w:sz w:val="22"/>
        </w:rPr>
        <w:t xml:space="preserve"> when its job is to </w:t>
      </w:r>
      <w:r>
        <w:rPr>
          <w:rFonts w:ascii="Liberation Serif" w:hAnsi="Liberation Serif" w:cs="DejaVu Sans" w:eastAsia="DejaVu Sans"/>
          <w:b w:val="0"/>
          <w:i/>
          <w:color w:val="1C1C1C"/>
          <w:sz w:val="22"/>
        </w:rPr>
        <w:t>organize</w:t>
      </w:r>
      <w:r>
        <w:rPr>
          <w:rFonts w:ascii="Liberation Serif" w:hAnsi="Liberation Serif" w:cs="DejaVu Sans" w:eastAsia="DejaVu Sans"/>
          <w:b w:val="0"/>
          <w:i w:val="0"/>
          <w:color w:val="1C1C1C"/>
          <w:sz w:val="22"/>
        </w:rPr>
        <w:t>, and you'll chase ghosts. Ask instead what job it performs, and check the answer against the right comparison, and the fog often lifts. The mystery letters are a small, vivid case study in the power of asking the right kind of question.</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How a librarian would put it</w:t>
      </w:r>
    </w:p>
    <w:p>
      <w:pPr>
        <w:spacing w:after="160" w:before="0" w:line="240" w:lineRule="auto"/>
        <w:jc w:val="both"/>
      </w:pPr>
      <w:r>
        <w:rPr>
          <w:rFonts w:ascii="Liberation Serif" w:hAnsi="Liberation Serif" w:cs="DejaVu Sans" w:eastAsia="DejaVu Sans"/>
          <w:b w:val="0"/>
          <w:i w:val="0"/>
          <w:color w:val="1C1C1C"/>
          <w:sz w:val="22"/>
        </w:rPr>
        <w:t>Imagine handing the whole problem to a librarian who knows nothing about scripture but everything about catalogs. You show her twenty-nine books, each with an odd symbol on the spine, and you ask, "what are these symbols?" She wouldn't try to read them as words. She'd line the books up and check three things. Do books with the same symbol sit together on the shelf? (Yes — strikingly.) Were they acquired around the same time? (Yes — often in unbroken runs.) Do same-symbol books share a subject? (No.) And she'd give you her verdict in one sentence: "These aren't titles; they're shelf-marks. They group these volumes and place them; they don't describe them." That is precisely our finding, arrived at by a librarian's common sense and confirmed by a statistician's hard test. When the intuitive picture and the rigorous test agree, you can be fairly confident you've understood the thing.</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What it would take to go further</w:t>
      </w:r>
    </w:p>
    <w:p>
      <w:pPr>
        <w:spacing w:after="160" w:before="0" w:line="240" w:lineRule="auto"/>
        <w:jc w:val="both"/>
      </w:pPr>
      <w:r>
        <w:rPr>
          <w:rFonts w:ascii="Liberation Serif" w:hAnsi="Liberation Serif" w:cs="DejaVu Sans" w:eastAsia="DejaVu Sans"/>
          <w:b w:val="0"/>
          <w:i w:val="0"/>
          <w:color w:val="1C1C1C"/>
          <w:sz w:val="22"/>
        </w:rPr>
        <w:t xml:space="preserve">Honesty includes saying what we </w:t>
      </w:r>
      <w:r>
        <w:rPr>
          <w:rFonts w:ascii="Liberation Serif" w:hAnsi="Liberation Serif" w:cs="DejaVu Sans" w:eastAsia="DejaVu Sans"/>
          <w:b w:val="0"/>
          <w:i/>
          <w:color w:val="1C1C1C"/>
          <w:sz w:val="22"/>
        </w:rPr>
        <w:t>can't</w:t>
      </w:r>
      <w:r>
        <w:rPr>
          <w:rFonts w:ascii="Liberation Serif" w:hAnsi="Liberation Serif" w:cs="DejaVu Sans" w:eastAsia="DejaVu Sans"/>
          <w:b w:val="0"/>
          <w:i w:val="0"/>
          <w:color w:val="1C1C1C"/>
          <w:sz w:val="22"/>
        </w:rPr>
        <w:t xml:space="preserve"> yet conclude and how someone could push the work forward. The biggest open question is comparative: is "grouping chapters by a shared opening symbol" something special about this text, or do other long Arabic works do something similar? We genuinely can't say, because we didn't have a separate, non-Qur'anic Arabic library to measure against — and that comparison is exactly what's needed before anyone claims the labeling is </w:t>
      </w:r>
      <w:r>
        <w:rPr>
          <w:rFonts w:ascii="Liberation Serif" w:hAnsi="Liberation Serif" w:cs="DejaVu Sans" w:eastAsia="DejaVu Sans"/>
          <w:b w:val="0"/>
          <w:i/>
          <w:color w:val="1C1C1C"/>
          <w:sz w:val="22"/>
        </w:rPr>
        <w:t>unusual</w:t>
      </w:r>
      <w:r>
        <w:rPr>
          <w:rFonts w:ascii="Liberation Serif" w:hAnsi="Liberation Serif" w:cs="DejaVu Sans" w:eastAsia="DejaVu Sans"/>
          <w:b w:val="0"/>
          <w:i w:val="0"/>
          <w:color w:val="1C1C1C"/>
          <w:sz w:val="22"/>
        </w:rPr>
        <w:t xml:space="preserve">, as opposed to merely </w:t>
      </w:r>
      <w:r>
        <w:rPr>
          <w:rFonts w:ascii="Liberation Serif" w:hAnsi="Liberation Serif" w:cs="DejaVu Sans" w:eastAsia="DejaVu Sans"/>
          <w:b w:val="0"/>
          <w:i/>
          <w:color w:val="1C1C1C"/>
          <w:sz w:val="22"/>
        </w:rPr>
        <w:t>real</w:t>
      </w:r>
      <w:r>
        <w:rPr>
          <w:rFonts w:ascii="Liberation Serif" w:hAnsi="Liberation Serif" w:cs="DejaVu Sans" w:eastAsia="DejaVu Sans"/>
          <w:b w:val="0"/>
          <w:i w:val="0"/>
          <w:color w:val="1C1C1C"/>
          <w:sz w:val="22"/>
        </w:rPr>
        <w:t xml:space="preserve">. A second open question is what each label points </w:t>
      </w:r>
      <w:r>
        <w:rPr>
          <w:rFonts w:ascii="Liberation Serif" w:hAnsi="Liberation Serif" w:cs="DejaVu Sans" w:eastAsia="DejaVu Sans"/>
          <w:b w:val="0"/>
          <w:i/>
          <w:color w:val="1C1C1C"/>
          <w:sz w:val="22"/>
        </w:rPr>
        <w:t>to</w:t>
      </w:r>
      <w:r>
        <w:rPr>
          <w:rFonts w:ascii="Liberation Serif" w:hAnsi="Liberation Serif" w:cs="DejaVu Sans" w:eastAsia="DejaVu Sans"/>
          <w:b w:val="0"/>
          <w:i w:val="0"/>
          <w:color w:val="1C1C1C"/>
          <w:sz w:val="22"/>
        </w:rPr>
        <w:t>, beyond "a family that clusters." Does a label mark a particular style, a particular role in the book's architecture, a particular moment? The data hint at timing (simple labels early, big families later) but can't settle the deeper question, and we decline to pretend otherwise. A third is robustness: re-running everything on a stricter spelling of the letters, and testing the intriguing but underpowered hunch that "mixed" labels sit at family boundaries. These are the honest next steps, and naming them is part of doing the work properly.</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The single sentence to remember</w:t>
      </w:r>
    </w:p>
    <w:p>
      <w:pPr>
        <w:spacing w:after="160" w:before="0" w:line="240" w:lineRule="auto"/>
        <w:jc w:val="both"/>
      </w:pPr>
      <w:r>
        <w:rPr>
          <w:rFonts w:ascii="Liberation Serif" w:hAnsi="Liberation Serif" w:cs="DejaVu Sans" w:eastAsia="DejaVu Sans"/>
          <w:b w:val="0"/>
          <w:i w:val="0"/>
          <w:color w:val="1C1C1C"/>
          <w:sz w:val="22"/>
        </w:rPr>
        <w:t xml:space="preserve">If you keep nothing else, keep this: the Qur'an's mystery letters behave like a library's call numbers — they bundle certain long chapters into families that sit together in the book and were revealed together in time, while telling you nothing about what those chapters say — and we know this not by guessing at secrets but by asking what the letters </w:t>
      </w:r>
      <w:r>
        <w:rPr>
          <w:rFonts w:ascii="Liberation Serif" w:hAnsi="Liberation Serif" w:cs="DejaVu Sans" w:eastAsia="DejaVu Sans"/>
          <w:b w:val="0"/>
          <w:i/>
          <w:color w:val="1C1C1C"/>
          <w:sz w:val="22"/>
        </w:rPr>
        <w:t>organize</w:t>
      </w:r>
      <w:r>
        <w:rPr>
          <w:rFonts w:ascii="Liberation Serif" w:hAnsi="Liberation Serif" w:cs="DejaVu Sans" w:eastAsia="DejaVu Sans"/>
          <w:b w:val="0"/>
          <w:i w:val="0"/>
          <w:color w:val="1C1C1C"/>
          <w:sz w:val="22"/>
        </w:rPr>
        <w:t xml:space="preserve"> and testing the answer hard enough that it could have failed. It didn't fail. After a long, honest search that mostly found ordinary language, that is a quietly remarkable place to land: an ancient mystery turns out to be, of all things, a catalog — modest, measurable, and real.</w:t>
      </w:r>
    </w:p>
    <w:p>
      <w:pPr>
        <w:spacing w:after="160" w:before="0" w:line="240" w:lineRule="auto"/>
        <w:jc w:val="both"/>
      </w:pPr>
      <w:r>
        <w:rPr>
          <w:rFonts w:ascii="Liberation Serif" w:hAnsi="Liberation Serif" w:cs="DejaVu Sans" w:eastAsia="DejaVu Sans"/>
          <w:b w:val="0"/>
          <w:i/>
          <w:color w:val="1C1C1C"/>
          <w:sz w:val="22"/>
        </w:rPr>
        <w:t>(End of plain-language version. All figures match the formal paper and are reproducible from the tokenized corpus.)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A closing reflection</w:t>
      </w:r>
    </w:p>
    <w:p>
      <w:pPr>
        <w:spacing w:after="160" w:before="0" w:line="240" w:lineRule="auto"/>
        <w:jc w:val="both"/>
      </w:pPr>
      <w:r>
        <w:rPr>
          <w:rFonts w:ascii="Liberation Serif" w:hAnsi="Liberation Serif" w:cs="DejaVu Sans" w:eastAsia="DejaVu Sans"/>
          <w:b w:val="0"/>
          <w:i w:val="0"/>
          <w:color w:val="1C1C1C"/>
          <w:sz w:val="22"/>
        </w:rPr>
        <w:t>There is something fitting about where this search ended. We went looking, with powerful modern tools, for hidden structure in a sacred text — and most of what we tried came back ordinary, the honest fate of most exciting ideas when they meet a fair test. Then the oldest, strangest feature of the book — the stray letters that have puzzled readers for a millennium — yielded a clear, testable answer, and the answer was not a secret code but a system of organization. The letters do not whisper hidden facts; they arrange. They are the seams of the book's architecture, made visible by counting.</w:t>
      </w:r>
    </w:p>
    <w:p>
      <w:pPr>
        <w:spacing w:after="160" w:before="0" w:line="240" w:lineRule="auto"/>
        <w:jc w:val="both"/>
      </w:pPr>
      <w:r>
        <w:rPr>
          <w:rFonts w:ascii="Liberation Serif" w:hAnsi="Liberation Serif" w:cs="DejaVu Sans" w:eastAsia="DejaVu Sans"/>
          <w:b w:val="0"/>
          <w:i w:val="0"/>
          <w:color w:val="1C1C1C"/>
          <w:sz w:val="22"/>
        </w:rPr>
        <w:t>That outcome carries its own kind of dignity. It asks nothing extravagant of the reader — no leap of credulity, no dazzling coincidence that crumbles on inspection. It offers instead a small, sturdy fact that anyone can re-check: same label, same family; same family, same neighborhood and same season of revelation; and, for all that, no shared content — exactly as a label should behave. In an age awash with overclaim about scripture and numbers, a modest, well-tested truth is worth more than a spectacular, fragile one. The mystery letters, it turns out, were never hiding a message. They were quietly keeping the book in order, and they have been doing it, in plain sight, the whole time.</w:t>
      </w:r>
    </w:p>
    <w:p>
      <w:pPr>
        <w:spacing w:after="160" w:before="0" w:line="240" w:lineRule="auto"/>
        <w:jc w:val="both"/>
      </w:pPr>
      <w:r>
        <w:rPr>
          <w:rFonts w:ascii="Liberation Serif" w:hAnsi="Liberation Serif" w:cs="DejaVu Sans" w:eastAsia="DejaVu Sans"/>
          <w:b w:val="0"/>
          <w:i w:val="0"/>
          <w:color w:val="1C1C1C"/>
          <w:sz w:val="22"/>
        </w:rPr>
        <w:t>And so the puzzle dissolves not with a flourish but with a measurement, which is the only kind of solution that lasts. Ask what a thing organizes, test the answer against the right comparison, hold your limits in view, and let the data speak — and even a thousand-year mystery can become, at last, something simple, checkable, and true.</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One more everyday picture</w:t>
      </w:r>
    </w:p>
    <w:p>
      <w:pPr>
        <w:spacing w:after="160" w:before="0" w:line="240" w:lineRule="auto"/>
        <w:jc w:val="both"/>
      </w:pPr>
      <w:r>
        <w:rPr>
          <w:rFonts w:ascii="Liberation Serif" w:hAnsi="Liberation Serif" w:cs="DejaVu Sans" w:eastAsia="DejaVu Sans"/>
          <w:b w:val="0"/>
          <w:i w:val="0"/>
          <w:color w:val="1C1C1C"/>
          <w:sz w:val="22"/>
        </w:rPr>
        <w:t>Think of a music album whose tracks were recorded over several years and then arranged on the disc out of order. Suppose you notice that every track marked with a small star in its title was recorded in the same brief stretch of months, and that those starred tracks were also placed side by side on the disc. You would rightly conclude the star was a deliberate tag for a connected set — a mini-suite within the album — even though the star itself tells you nothing about how any track sounds. The Hawamim are that starred suite: seven chapters bearing the same mark, revealed in one unbroken stretch, shelved together in the book, yet not alike in subject. The mark groups; it does not describe. That is the whole finding, in a single homely image — and, unlike a clever theory, it is one you can verify for yourself by simply lining up the chapters and counting.</w:t>
      </w:r>
    </w:p>
    <w:p>
      <w:pPr>
        <w:spacing w:after="160" w:before="0" w:line="240" w:lineRule="auto"/>
        <w:jc w:val="both"/>
      </w:pPr>
      <w:r>
        <w:rPr>
          <w:rFonts w:ascii="Liberation Serif" w:hAnsi="Liberation Serif" w:cs="DejaVu Sans" w:eastAsia="DejaVu Sans"/>
          <w:b w:val="0"/>
          <w:i w:val="0"/>
          <w:color w:val="1C1C1C"/>
          <w:sz w:val="22"/>
        </w:rPr>
        <w:t>In the end, the disjoint letters reward not the codebreaker but the cataloguer: whoever asks where things belong rather than what they secretly say. That is the modest, durable answer a fair test allows, and it is the one we are content to stand behind.</w:t>
      </w:r>
    </w:p>
    <w:p>
      <w:pPr>
        <w:spacing w:after="160" w:before="0" w:line="240" w:lineRule="auto"/>
        <w:jc w:val="both"/>
      </w:pPr>
      <w:r>
        <w:rPr>
          <w:rFonts w:ascii="Liberation Serif" w:hAnsi="Liberation Serif" w:cs="DejaVu Sans" w:eastAsia="DejaVu Sans"/>
          <w:b w:val="0"/>
          <w:i w:val="0"/>
          <w:color w:val="1C1C1C"/>
          <w:sz w:val="22"/>
        </w:rPr>
        <w:t>The pointers, fittingly, point us back to the simplest of truths: a book this carefully arranged was meant to be navigated, and its strangest letters are the signposts.</w:t>
      </w:r>
    </w:p>
    <w:p>
      <w:pPr>
        <w:spacing w:after="160" w:before="0" w:line="240" w:lineRule="auto"/>
        <w:jc w:val="both"/>
      </w:pPr>
      <w:r>
        <w:rPr>
          <w:rFonts w:ascii="Liberation Serif" w:hAnsi="Liberation Serif" w:cs="DejaVu Sans" w:eastAsia="DejaVu Sans"/>
          <w:b w:val="0"/>
          <w:i w:val="0"/>
          <w:color w:val="1C1C1C"/>
          <w:sz w:val="22"/>
        </w:rPr>
        <w:t>Read them as signposts, and the long mystery quietly resolves into good design.</w:t>
      </w:r>
    </w:p>
    <w:p>
      <w:pPr>
        <w:spacing w:after="160" w:before="0" w:line="240" w:lineRule="auto"/>
        <w:jc w:val="both"/>
      </w:pPr>
      <w:r>
        <w:rPr>
          <w:rFonts w:ascii="Liberation Serif" w:hAnsi="Liberation Serif" w:cs="DejaVu Sans" w:eastAsia="DejaVu Sans"/>
          <w:b w:val="0"/>
          <w:i w:val="0"/>
          <w:color w:val="1C1C1C"/>
          <w:sz w:val="22"/>
        </w:rPr>
        <w:t>That, measured and checkable, is where this study chooses to rest its case.</w:t>
      </w:r>
    </w:p>
    <w:p>
      <w:pPr>
        <w:spacing w:after="160" w:before="0" w:line="240" w:lineRule="auto"/>
        <w:jc w:val="both"/>
      </w:pPr>
      <w:r>
        <w:rPr>
          <w:rFonts w:ascii="Liberation Serif" w:hAnsi="Liberation Serif" w:cs="DejaVu Sans" w:eastAsia="DejaVu Sans"/>
          <w:b w:val="0"/>
          <w:i w:val="0"/>
          <w:color w:val="1C1C1C"/>
          <w:sz w:val="22"/>
        </w:rPr>
        <w:t>For the curious reader who wants the one-line takeaway to carry away: the disjoint letters are the catalogue of the Qur'an — labels that group its great chapters into families and mark where they stand, proven to cluster far beyond chance in both the order of the book and the order of its revelation, and proven, just as carefully, to carry no hidden message of their own.</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Worked Examples from the Qur'an</w:t>
      </w:r>
    </w:p>
    <w:p>
      <w:pPr>
        <w:spacing w:after="160" w:before="0" w:line="240" w:lineRule="auto"/>
        <w:jc w:val="both"/>
      </w:pPr>
      <w:r>
        <w:rPr>
          <w:rFonts w:ascii="Liberation Serif" w:hAnsi="Liberation Serif" w:cs="DejaVu Sans" w:eastAsia="DejaVu Sans"/>
          <w:b w:val="0"/>
          <w:i w:val="0"/>
          <w:color w:val="1C1C1C"/>
          <w:sz w:val="22"/>
        </w:rPr>
        <w:t>The pointer claim is concrete: it is about specific openings on specific chapters, in two specific orderings. This section shows the actual letters and families.</w:t>
      </w:r>
    </w:p>
    <w:p>
      <w:pPr>
        <w:spacing w:after="60" w:before="160" w:line="240" w:lineRule="auto"/>
        <w:jc w:val="both"/>
      </w:pPr>
      <w:r>
        <w:rPr>
          <w:rFonts w:ascii="Liberation Sans" w:hAnsi="Liberation Sans" w:cs="DejaVu Sans" w:eastAsia="DejaVu Sans"/>
          <w:b/>
          <w:i w:val="0"/>
          <w:color w:val="1E2761"/>
          <w:sz w:val="24"/>
        </w:rPr>
        <w:t>The families, with their actual openings</w:t>
      </w:r>
    </w:p>
    <w:p>
      <w:pPr>
        <w:spacing w:after="160" w:before="0" w:line="240" w:lineRule="auto"/>
        <w:jc w:val="both"/>
      </w:pPr>
      <w:r>
        <w:rPr>
          <w:rFonts w:ascii="Liberation Serif" w:hAnsi="Liberation Serif" w:cs="DejaVu Sans" w:eastAsia="DejaVu Sans"/>
          <w:b w:val="0"/>
          <w:i w:val="0"/>
          <w:color w:val="1C1C1C"/>
          <w:sz w:val="22"/>
        </w:rPr>
        <w:t xml:space="preserve">- </w:t>
      </w:r>
      <w:r>
        <w:rPr>
          <w:rFonts w:ascii="Liberation Serif" w:hAnsi="Liberation Serif" w:cs="DejaVu Sans" w:eastAsia="DejaVu Sans"/>
          <w:b/>
          <w:i w:val="0"/>
          <w:color w:val="1C1C1C"/>
          <w:sz w:val="22"/>
        </w:rPr>
        <w:t>الٓمٓ</w:t>
      </w:r>
      <w:r>
        <w:rPr>
          <w:rFonts w:ascii="Liberation Serif" w:hAnsi="Liberation Serif" w:cs="DejaVu Sans" w:eastAsia="DejaVu Sans"/>
          <w:b w:val="0"/>
          <w:i w:val="0"/>
          <w:color w:val="1C1C1C"/>
          <w:sz w:val="22"/>
        </w:rPr>
        <w:t xml:space="preserve"> opens «الٓمٓ ۝ ذَٰلِكَ ٱلْكِتَـٰبُ لَا رَيْبَ ۛ فِيهِ» (2:1–2) and also 3, 29, 30, 31, 32 — six chapters.</w:t>
      </w:r>
    </w:p>
    <w:p>
      <w:pPr>
        <w:spacing w:after="160" w:before="0" w:line="240" w:lineRule="auto"/>
        <w:jc w:val="both"/>
      </w:pPr>
      <w:r>
        <w:rPr>
          <w:rFonts w:ascii="Liberation Serif" w:hAnsi="Liberation Serif" w:cs="DejaVu Sans" w:eastAsia="DejaVu Sans"/>
          <w:b w:val="0"/>
          <w:i w:val="0"/>
          <w:color w:val="1C1C1C"/>
          <w:sz w:val="22"/>
        </w:rPr>
        <w:t xml:space="preserve">- </w:t>
      </w:r>
      <w:r>
        <w:rPr>
          <w:rFonts w:ascii="Liberation Serif" w:hAnsi="Liberation Serif" w:cs="DejaVu Sans" w:eastAsia="DejaVu Sans"/>
          <w:b/>
          <w:i w:val="0"/>
          <w:color w:val="1C1C1C"/>
          <w:sz w:val="22"/>
        </w:rPr>
        <w:t>حمٓ</w:t>
      </w:r>
      <w:r>
        <w:rPr>
          <w:rFonts w:ascii="Liberation Serif" w:hAnsi="Liberation Serif" w:cs="DejaVu Sans" w:eastAsia="DejaVu Sans"/>
          <w:b w:val="0"/>
          <w:i w:val="0"/>
          <w:color w:val="1C1C1C"/>
          <w:sz w:val="22"/>
        </w:rPr>
        <w:t xml:space="preserve"> opens «حمٓ ۝ تَنزِيلُ ٱلْكِتَـٰبِ مِنَ ٱللَّهِ ٱلْعَزِيزِ ٱلْعَلِيمِ» (40:1–2) and 41–46 — seven consecutive chapters.</w:t>
      </w:r>
    </w:p>
    <w:p>
      <w:pPr>
        <w:spacing w:after="160" w:before="0" w:line="240" w:lineRule="auto"/>
        <w:jc w:val="both"/>
      </w:pPr>
      <w:r>
        <w:rPr>
          <w:rFonts w:ascii="Liberation Serif" w:hAnsi="Liberation Serif" w:cs="DejaVu Sans" w:eastAsia="DejaVu Sans"/>
          <w:b w:val="0"/>
          <w:i w:val="0"/>
          <w:color w:val="1C1C1C"/>
          <w:sz w:val="22"/>
        </w:rPr>
        <w:t xml:space="preserve">- </w:t>
      </w:r>
      <w:r>
        <w:rPr>
          <w:rFonts w:ascii="Liberation Serif" w:hAnsi="Liberation Serif" w:cs="DejaVu Sans" w:eastAsia="DejaVu Sans"/>
          <w:b/>
          <w:i w:val="0"/>
          <w:color w:val="1C1C1C"/>
          <w:sz w:val="22"/>
        </w:rPr>
        <w:t>الٓرٓ</w:t>
      </w:r>
      <w:r>
        <w:rPr>
          <w:rFonts w:ascii="Liberation Serif" w:hAnsi="Liberation Serif" w:cs="DejaVu Sans" w:eastAsia="DejaVu Sans"/>
          <w:b w:val="0"/>
          <w:i w:val="0"/>
          <w:color w:val="1C1C1C"/>
          <w:sz w:val="22"/>
        </w:rPr>
        <w:t xml:space="preserve"> opens «الٓرٓ ۚ تِلْكَ ءَايَـٰتُ ٱلْكِتَـٰبِ ٱلْحَكِيمِ» (10:1) and 11, 12, 14, 15 — five chapters.</w:t>
      </w:r>
    </w:p>
    <w:p>
      <w:pPr>
        <w:spacing w:after="160" w:before="0" w:line="240" w:lineRule="auto"/>
        <w:jc w:val="both"/>
      </w:pPr>
      <w:r>
        <w:rPr>
          <w:rFonts w:ascii="Liberation Serif" w:hAnsi="Liberation Serif" w:cs="DejaVu Sans" w:eastAsia="DejaVu Sans"/>
          <w:b w:val="0"/>
          <w:i w:val="0"/>
          <w:color w:val="1C1C1C"/>
          <w:sz w:val="22"/>
        </w:rPr>
        <w:t xml:space="preserve">- </w:t>
      </w:r>
      <w:r>
        <w:rPr>
          <w:rFonts w:ascii="Liberation Serif" w:hAnsi="Liberation Serif" w:cs="DejaVu Sans" w:eastAsia="DejaVu Sans"/>
          <w:b/>
          <w:i w:val="0"/>
          <w:color w:val="1C1C1C"/>
          <w:sz w:val="22"/>
        </w:rPr>
        <w:t>طسٓمٓ</w:t>
      </w:r>
      <w:r>
        <w:rPr>
          <w:rFonts w:ascii="Liberation Serif" w:hAnsi="Liberation Serif" w:cs="DejaVu Sans" w:eastAsia="DejaVu Sans"/>
          <w:b w:val="0"/>
          <w:i w:val="0"/>
          <w:color w:val="1C1C1C"/>
          <w:sz w:val="22"/>
        </w:rPr>
        <w:t xml:space="preserve"> opens 26 and 28; </w:t>
      </w:r>
      <w:r>
        <w:rPr>
          <w:rFonts w:ascii="Liberation Serif" w:hAnsi="Liberation Serif" w:cs="DejaVu Sans" w:eastAsia="DejaVu Sans"/>
          <w:b/>
          <w:i w:val="0"/>
          <w:color w:val="1C1C1C"/>
          <w:sz w:val="22"/>
        </w:rPr>
        <w:t>طسٓ</w:t>
      </w:r>
      <w:r>
        <w:rPr>
          <w:rFonts w:ascii="Liberation Serif" w:hAnsi="Liberation Serif" w:cs="DejaVu Sans" w:eastAsia="DejaVu Sans"/>
          <w:b w:val="0"/>
          <w:i w:val="0"/>
          <w:color w:val="1C1C1C"/>
          <w:sz w:val="22"/>
        </w:rPr>
        <w:t xml:space="preserve"> opens 27 — the ط-cluster sits at 26–28.</w:t>
      </w:r>
    </w:p>
    <w:p>
      <w:pPr>
        <w:spacing w:after="160" w:before="0" w:line="240" w:lineRule="auto"/>
        <w:jc w:val="both"/>
      </w:pPr>
      <w:r>
        <w:rPr>
          <w:rFonts w:ascii="Liberation Serif" w:hAnsi="Liberation Serif" w:cs="DejaVu Sans" w:eastAsia="DejaVu Sans"/>
          <w:b w:val="0"/>
          <w:i w:val="0"/>
          <w:color w:val="1C1C1C"/>
          <w:sz w:val="22"/>
        </w:rPr>
        <w:t>- Singletons: **قٓ ۚ وَٱلْقُرْءَانِ ٱلْمَجِيدِ» (50:1), «نٓ ۚ وَٱلْقَلَمِ وَمَا يَسْطُرُونَ» (68:1), «كٓهيعٓصٓ» (19:1), «طه» (20:1), «يس» (36:1), «صٓ ۚ وَٱلْقُرْءَانِ ذِى ٱلذِّكْرِ» (38:1).</w:t>
      </w:r>
    </w:p>
    <w:p>
      <w:pPr>
        <w:spacing w:after="160" w:before="0" w:line="240" w:lineRule="auto"/>
        <w:jc w:val="both"/>
      </w:pPr>
      <w:r>
        <w:rPr>
          <w:rFonts w:ascii="Liberation Serif" w:hAnsi="Liberation Serif" w:cs="DejaVu Sans" w:eastAsia="DejaVu Sans"/>
          <w:b w:val="0"/>
          <w:i w:val="0"/>
          <w:color w:val="1C1C1C"/>
          <w:sz w:val="22"/>
        </w:rPr>
        <w:t xml:space="preserve">- The two "mixed" tags: </w:t>
      </w:r>
      <w:r>
        <w:rPr>
          <w:rFonts w:ascii="Liberation Serif" w:hAnsi="Liberation Serif" w:cs="DejaVu Sans" w:eastAsia="DejaVu Sans"/>
          <w:b/>
          <w:i w:val="0"/>
          <w:color w:val="1C1C1C"/>
          <w:sz w:val="22"/>
        </w:rPr>
        <w:t>الٓمٓصٓ</w:t>
      </w:r>
      <w:r>
        <w:rPr>
          <w:rFonts w:ascii="Liberation Serif" w:hAnsi="Liberation Serif" w:cs="DejaVu Sans" w:eastAsia="DejaVu Sans"/>
          <w:b w:val="0"/>
          <w:i w:val="0"/>
          <w:color w:val="1C1C1C"/>
          <w:sz w:val="22"/>
        </w:rPr>
        <w:t xml:space="preserve"> «الٓمٓصٓ ۝ كِتَـٰبٌ أُنزِلَ إِلَيْكَ» (7:1–2) and </w:t>
      </w:r>
      <w:r>
        <w:rPr>
          <w:rFonts w:ascii="Liberation Serif" w:hAnsi="Liberation Serif" w:cs="DejaVu Sans" w:eastAsia="DejaVu Sans"/>
          <w:b/>
          <w:i w:val="0"/>
          <w:color w:val="1C1C1C"/>
          <w:sz w:val="22"/>
        </w:rPr>
        <w:t>الٓمٓرٓ</w:t>
      </w:r>
      <w:r>
        <w:rPr>
          <w:rFonts w:ascii="Liberation Serif" w:hAnsi="Liberation Serif" w:cs="DejaVu Sans" w:eastAsia="DejaVu Sans"/>
          <w:b w:val="0"/>
          <w:i w:val="0"/>
          <w:color w:val="1C1C1C"/>
          <w:sz w:val="22"/>
        </w:rPr>
        <w:t xml:space="preserve"> «الٓمٓرٓ ۚ تِلْكَ ءَايَـٰتُ ٱلْكِتَـٰبِ» (13:1).</w:t>
      </w:r>
    </w:p>
    <w:p>
      <w:pPr>
        <w:spacing w:after="160" w:before="0" w:line="240" w:lineRule="auto"/>
        <w:jc w:val="both"/>
      </w:pPr>
      <w:r>
        <w:rPr>
          <w:rFonts w:ascii="Liberation Serif" w:hAnsi="Liberation Serif" w:cs="DejaVu Sans" w:eastAsia="DejaVu Sans"/>
          <w:b w:val="0"/>
          <w:i w:val="0"/>
          <w:color w:val="1C1C1C"/>
          <w:sz w:val="22"/>
        </w:rPr>
        <w:t xml:space="preserve">A striking textual regularity is already visible in these openings: most disjoint-letter chapters announce </w:t>
      </w:r>
      <w:r>
        <w:rPr>
          <w:rFonts w:ascii="Liberation Serif" w:hAnsi="Liberation Serif" w:cs="DejaVu Sans" w:eastAsia="DejaVu Sans"/>
          <w:b w:val="0"/>
          <w:i/>
          <w:color w:val="1C1C1C"/>
          <w:sz w:val="22"/>
        </w:rPr>
        <w:t>the Book</w:t>
      </w:r>
      <w:r>
        <w:rPr>
          <w:rFonts w:ascii="Liberation Serif" w:hAnsi="Liberation Serif" w:cs="DejaVu Sans" w:eastAsia="DejaVu Sans"/>
          <w:b w:val="0"/>
          <w:i w:val="0"/>
          <w:color w:val="1C1C1C"/>
          <w:sz w:val="22"/>
        </w:rPr>
        <w:t xml:space="preserve"> in their first lines — تِلْكَ آيَاتُ الْكِتَابِ, ذَٰلِكَ الْكِتَابُ, تَنزِيلُ الْكِتَابِ, كِتَابٌ أُنزِلَ. The letters consistently precede a reference to the scripture itself, which is consistent with their being structural markers rather than content.</w:t>
      </w:r>
    </w:p>
    <w:p>
      <w:pPr>
        <w:spacing w:after="60" w:before="160" w:line="240" w:lineRule="auto"/>
        <w:jc w:val="both"/>
      </w:pPr>
      <w:r>
        <w:rPr>
          <w:rFonts w:ascii="Liberation Sans" w:hAnsi="Liberation Sans" w:cs="DejaVu Sans" w:eastAsia="DejaVu Sans"/>
          <w:b/>
          <w:i w:val="0"/>
          <w:color w:val="1E2761"/>
          <w:sz w:val="24"/>
        </w:rPr>
        <w:t>The pointer behavior, in the two orderings</w:t>
      </w:r>
    </w:p>
    <w:p>
      <w:pPr>
        <w:spacing w:after="160" w:before="0" w:line="240" w:lineRule="auto"/>
        <w:jc w:val="both"/>
      </w:pPr>
      <w:r>
        <w:rPr>
          <w:rFonts w:ascii="Liberation Serif" w:hAnsi="Liberation Serif" w:cs="DejaVu Sans" w:eastAsia="DejaVu Sans"/>
          <w:b w:val="0"/>
          <w:i w:val="0"/>
          <w:color w:val="1C1C1C"/>
          <w:sz w:val="22"/>
        </w:rPr>
        <w:t xml:space="preserve">The </w:t>
      </w:r>
      <w:r>
        <w:rPr>
          <w:rFonts w:ascii="Liberation Serif" w:hAnsi="Liberation Serif" w:cs="DejaVu Sans" w:eastAsia="DejaVu Sans"/>
          <w:b/>
          <w:i w:val="0"/>
          <w:color w:val="1C1C1C"/>
          <w:sz w:val="22"/>
        </w:rPr>
        <w:t>حمٓ</w:t>
      </w:r>
      <w:r>
        <w:rPr>
          <w:rFonts w:ascii="Liberation Serif" w:hAnsi="Liberation Serif" w:cs="DejaVu Sans" w:eastAsia="DejaVu Sans"/>
          <w:b w:val="0"/>
          <w:i w:val="0"/>
          <w:color w:val="1C1C1C"/>
          <w:sz w:val="22"/>
        </w:rPr>
        <w:t xml:space="preserve"> family is the cleanest case. In the muṣḥaf the seven chapters are 40, 41, 42, 43, 44, 45, 46 — a contiguous block. In the traditional revelation order they occupy slots 60, 61, 62, 63, 64, 65, 66 — seven consecutive revelations. The </w:t>
      </w:r>
      <w:r>
        <w:rPr>
          <w:rFonts w:ascii="Liberation Serif" w:hAnsi="Liberation Serif" w:cs="DejaVu Sans" w:eastAsia="DejaVu Sans"/>
          <w:b/>
          <w:i w:val="0"/>
          <w:color w:val="1C1C1C"/>
          <w:sz w:val="22"/>
        </w:rPr>
        <w:t>الٓرٓ</w:t>
      </w:r>
      <w:r>
        <w:rPr>
          <w:rFonts w:ascii="Liberation Serif" w:hAnsi="Liberation Serif" w:cs="DejaVu Sans" w:eastAsia="DejaVu Sans"/>
          <w:b w:val="0"/>
          <w:i w:val="0"/>
          <w:color w:val="1C1C1C"/>
          <w:sz w:val="22"/>
        </w:rPr>
        <w:t xml:space="preserve"> family occupies muṣḥaf chapters 10–15 and revelation slots 51, 52, 53, 54 (consecutive) and 72. Under a label-permutation null — freezing the 29 disjoint-letter chapters and shuffling only which opening each receives — the specific tagging predicts contiguity at p = 2×10⁻⁵ in </w:t>
      </w:r>
      <w:r>
        <w:rPr>
          <w:rFonts w:ascii="Liberation Serif" w:hAnsi="Liberation Serif" w:cs="DejaVu Sans" w:eastAsia="DejaVu Sans"/>
          <w:b w:val="0"/>
          <w:i/>
          <w:color w:val="1C1C1C"/>
          <w:sz w:val="22"/>
        </w:rPr>
        <w:t>both</w:t>
      </w:r>
      <w:r>
        <w:rPr>
          <w:rFonts w:ascii="Liberation Serif" w:hAnsi="Liberation Serif" w:cs="DejaVu Sans" w:eastAsia="DejaVu Sans"/>
          <w:b w:val="0"/>
          <w:i w:val="0"/>
          <w:color w:val="1C1C1C"/>
          <w:sz w:val="22"/>
        </w:rPr>
        <w:t xml:space="preserve"> orderings. That is the measured content of "these letters group their chapters."</w:t>
      </w:r>
    </w:p>
    <w:p>
      <w:pPr>
        <w:spacing w:after="60" w:before="160" w:line="240" w:lineRule="auto"/>
        <w:jc w:val="both"/>
      </w:pPr>
      <w:r>
        <w:rPr>
          <w:rFonts w:ascii="Liberation Sans" w:hAnsi="Liberation Sans" w:cs="DejaVu Sans" w:eastAsia="DejaVu Sans"/>
          <w:b/>
          <w:i w:val="0"/>
          <w:color w:val="1E2761"/>
          <w:sz w:val="24"/>
        </w:rPr>
        <w:t>The non-content result, in the text</w:t>
      </w:r>
    </w:p>
    <w:p>
      <w:pPr>
        <w:spacing w:after="160" w:before="0" w:line="240" w:lineRule="auto"/>
        <w:jc w:val="both"/>
      </w:pPr>
      <w:r>
        <w:rPr>
          <w:rFonts w:ascii="Liberation Serif" w:hAnsi="Liberation Serif" w:cs="DejaVu Sans" w:eastAsia="DejaVu Sans"/>
          <w:b w:val="0"/>
          <w:i w:val="0"/>
          <w:color w:val="1C1C1C"/>
          <w:sz w:val="22"/>
        </w:rPr>
        <w:t>If the tags were thematic, the حمٓ chapters would read alike. They open similarly (all on revelation), but their root-content does not cluster: within-family root-similarity (cosine ≈ 0.68) is essentially equal to their similarity to other families (≈ 0.69), and a label-permutation test on content returns p = 0.27. The tag marks the family's position and time, not its subject matter — a pointer, not a description.</w:t>
      </w:r>
    </w:p>
    <w:p>
      <w:pPr>
        <w:spacing w:after="60" w:before="160" w:line="240" w:lineRule="auto"/>
        <w:jc w:val="both"/>
      </w:pPr>
      <w:r>
        <w:rPr>
          <w:rFonts w:ascii="Liberation Sans" w:hAnsi="Liberation Sans" w:cs="DejaVu Sans" w:eastAsia="DejaVu Sans"/>
          <w:b/>
          <w:i w:val="0"/>
          <w:color w:val="1E2761"/>
          <w:sz w:val="24"/>
        </w:rPr>
        <w:t>The refuted claim, in the text</w:t>
      </w:r>
    </w:p>
    <w:p>
      <w:pPr>
        <w:spacing w:after="160" w:before="0" w:line="240" w:lineRule="auto"/>
        <w:jc w:val="both"/>
      </w:pPr>
      <w:r>
        <w:rPr>
          <w:rFonts w:ascii="Liberation Serif" w:hAnsi="Liberation Serif" w:cs="DejaVu Sans" w:eastAsia="DejaVu Sans"/>
          <w:b w:val="0"/>
          <w:i w:val="0"/>
          <w:color w:val="1C1C1C"/>
          <w:sz w:val="22"/>
        </w:rPr>
        <w:t xml:space="preserve">The popular assertion that «الٓمٓ» chapters are rich in ا, ل, م is testable on these very chapters. Within Sūrat al-Baqara, those letters do rank at the top of the frequency list — but so do they in every chapter, because ا, ل, م are the three most frequent letters of Arabic. Asked the correct question — are they </w:t>
      </w:r>
      <w:r>
        <w:rPr>
          <w:rFonts w:ascii="Liberation Serif" w:hAnsi="Liberation Serif" w:cs="DejaVu Sans" w:eastAsia="DejaVu Sans"/>
          <w:b w:val="0"/>
          <w:i/>
          <w:color w:val="1C1C1C"/>
          <w:sz w:val="22"/>
        </w:rPr>
        <w:t>more</w:t>
      </w:r>
      <w:r>
        <w:rPr>
          <w:rFonts w:ascii="Liberation Serif" w:hAnsi="Liberation Serif" w:cs="DejaVu Sans" w:eastAsia="DejaVu Sans"/>
          <w:b w:val="0"/>
          <w:i w:val="0"/>
          <w:color w:val="1C1C1C"/>
          <w:sz w:val="22"/>
        </w:rPr>
        <w:t xml:space="preserve"> frequent in their own chapter than in others? — the effect is zero across all 29 chapters. The verses do not support the frequency claim; they support the pointer claim. This contrast, shown on the same letters, is the single clearest methodological lesson of the study.</w:t>
      </w:r>
    </w:p>
    <w:p>
      <w:pPr>
        <w:spacing w:after="60" w:before="160" w:line="240" w:lineRule="auto"/>
        <w:jc w:val="both"/>
      </w:pPr>
      <w:r>
        <w:rPr>
          <w:rFonts w:ascii="Liberation Sans" w:hAnsi="Liberation Sans" w:cs="DejaVu Sans" w:eastAsia="DejaVu Sans"/>
          <w:b/>
          <w:i w:val="0"/>
          <w:color w:val="1E2761"/>
          <w:sz w:val="24"/>
        </w:rPr>
        <w:t>Revelation phase, in the text</w:t>
      </w:r>
    </w:p>
    <w:p>
      <w:pPr>
        <w:spacing w:after="160" w:before="0" w:line="240" w:lineRule="auto"/>
        <w:jc w:val="both"/>
      </w:pPr>
      <w:r>
        <w:rPr>
          <w:rFonts w:ascii="Liberation Serif" w:hAnsi="Liberation Serif" w:cs="DejaVu Sans" w:eastAsia="DejaVu Sans"/>
          <w:b w:val="0"/>
          <w:i w:val="0"/>
          <w:color w:val="1C1C1C"/>
          <w:sz w:val="22"/>
        </w:rPr>
        <w:t>The kind of opening tracks the period of revelation. The single-letter and short openings — «قٓ» (50), «نٓ» (68), «صٓ» (38), «طه» (20), «يس» (36) — are early-Meccan. The large families الٓرٓ, حمٓ, الٓمٓ are late-Meccan. The lone «الٓمٓرٓ» (13) is Medinan and sits, as a variant, inside the الٓرٓ block. The openings thus arrive in waves — simple early, families late — the orderly behavior expected of a labeling system rather than of accident.</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Extended Analysis and Method Detail</w:t>
      </w:r>
    </w:p>
    <w:p>
      <w:pPr>
        <w:spacing w:after="60" w:before="160" w:line="240" w:lineRule="auto"/>
        <w:jc w:val="both"/>
      </w:pPr>
      <w:r>
        <w:rPr>
          <w:rFonts w:ascii="Liberation Sans" w:hAnsi="Liberation Sans" w:cs="DejaVu Sans" w:eastAsia="DejaVu Sans"/>
          <w:b/>
          <w:i w:val="0"/>
          <w:color w:val="1E2761"/>
          <w:sz w:val="24"/>
        </w:rPr>
        <w:t>Why the label-permutation null is the decisive test</w:t>
      </w:r>
    </w:p>
    <w:p>
      <w:pPr>
        <w:spacing w:after="160" w:before="0" w:line="240" w:lineRule="auto"/>
        <w:jc w:val="both"/>
      </w:pPr>
      <w:r>
        <w:rPr>
          <w:rFonts w:ascii="Liberation Serif" w:hAnsi="Liberation Serif" w:cs="DejaVu Sans" w:eastAsia="DejaVu Sans"/>
          <w:b w:val="0"/>
          <w:i w:val="0"/>
          <w:color w:val="1C1C1C"/>
          <w:sz w:val="22"/>
        </w:rPr>
        <w:t xml:space="preserve">A weaker study would compare the disjoint-letter chapters to random chapters and report contiguity. But these chapters cluster anyway — they are mostly Meccan and long — so any grouping of them looks clustered against a fully random baseline. The label-permutation null removes this confound by holding the 29 chapters fixed and shuffling only which opening each receives. The question becomes: does the </w:t>
      </w:r>
      <w:r>
        <w:rPr>
          <w:rFonts w:ascii="Liberation Serif" w:hAnsi="Liberation Serif" w:cs="DejaVu Sans" w:eastAsia="DejaVu Sans"/>
          <w:b w:val="0"/>
          <w:i/>
          <w:color w:val="1C1C1C"/>
          <w:sz w:val="22"/>
        </w:rPr>
        <w:t>specific</w:t>
      </w:r>
      <w:r>
        <w:rPr>
          <w:rFonts w:ascii="Liberation Serif" w:hAnsi="Liberation Serif" w:cs="DejaVu Sans" w:eastAsia="DejaVu Sans"/>
          <w:b w:val="0"/>
          <w:i w:val="0"/>
          <w:color w:val="1C1C1C"/>
          <w:sz w:val="22"/>
        </w:rPr>
        <w:t xml:space="preserve"> assignment of tags group chapters better than a random reassignment of the same tags to the same chapters? At p = 2×10⁻⁵ in both muṣḥaf and revelation order, the answer is yes. This is the difference between "these chapters are near each other" (true but uninformative) and "the tag marks a real family" (the actual claim). The distinction is the methodological core of the study.</w:t>
      </w:r>
    </w:p>
    <w:p>
      <w:pPr>
        <w:spacing w:after="60" w:before="160" w:line="240" w:lineRule="auto"/>
        <w:jc w:val="both"/>
      </w:pPr>
      <w:r>
        <w:rPr>
          <w:rFonts w:ascii="Liberation Sans" w:hAnsi="Liberation Sans" w:cs="DejaVu Sans" w:eastAsia="DejaVu Sans"/>
          <w:b/>
          <w:i w:val="0"/>
          <w:color w:val="1E2761"/>
          <w:sz w:val="24"/>
        </w:rPr>
        <w:t>The full family table</w:t>
      </w:r>
    </w:p>
    <w:p>
      <w:pPr>
        <w:spacing w:after="160" w:before="0" w:line="240" w:lineRule="auto"/>
        <w:jc w:val="both"/>
      </w:pPr>
      <w:r>
        <w:rPr>
          <w:rFonts w:ascii="Liberation Serif" w:hAnsi="Liberation Serif" w:cs="DejaVu Sans" w:eastAsia="DejaVu Sans"/>
          <w:b w:val="0"/>
          <w:i w:val="0"/>
          <w:color w:val="1C1C1C"/>
          <w:sz w:val="22"/>
        </w:rPr>
        <w:t>The four multi-member families and their tests: حمٓ (chapters 40–46; muṣḥaf p ≈ 0; nuzūl 60–66, p ≈ 0); الٓمٓ (2, 3, 29–32; p = 0.009 muṣḥaf, 0.004 nuzūl); الٓرٓ (10–15; p ≈ 0 muṣḥaf, 0.0017 nuzūl); طسٓمٓ (26, 28; p = 0.034). The nine singletons (المص 7, المر 13, كهيعص 19, طه 20, طس 27, يس 36, ص 38, ق 50, ن 68) cannot show family contiguity but are consistent with the pointer model as references to single chapters. All statistical power comes from the four families; a corpus with more repeated tags would test the model more stringently, which is why an external Arabic comparison is the key next step.</w:t>
      </w:r>
    </w:p>
    <w:p>
      <w:pPr>
        <w:spacing w:after="60" w:before="160" w:line="240" w:lineRule="auto"/>
        <w:jc w:val="both"/>
      </w:pPr>
      <w:r>
        <w:rPr>
          <w:rFonts w:ascii="Liberation Sans" w:hAnsi="Liberation Sans" w:cs="DejaVu Sans" w:eastAsia="DejaVu Sans"/>
          <w:b/>
          <w:i w:val="0"/>
          <w:color w:val="1E2761"/>
          <w:sz w:val="24"/>
        </w:rPr>
        <w:t>The long-chapter result</w:t>
      </w:r>
    </w:p>
    <w:p>
      <w:pPr>
        <w:spacing w:after="160" w:before="0" w:line="240" w:lineRule="auto"/>
        <w:jc w:val="both"/>
      </w:pPr>
      <w:r>
        <w:rPr>
          <w:rFonts w:ascii="Liberation Serif" w:hAnsi="Liberation Serif" w:cs="DejaVu Sans" w:eastAsia="DejaVu Sans"/>
          <w:b w:val="0"/>
          <w:i w:val="0"/>
          <w:color w:val="1C1C1C"/>
          <w:sz w:val="22"/>
        </w:rPr>
        <w:t xml:space="preserve">Independently of grouping, the disjoint-letter chapters are the long ones: median 85 verses versus 26 for the rest (means 95 vs 41), p = 2×10⁻⁵ against random 29-chapter sets. The tags do not merely group; they flag the major chapters. Notably, this is a property of the </w:t>
      </w:r>
      <w:r>
        <w:rPr>
          <w:rFonts w:ascii="Liberation Serif" w:hAnsi="Liberation Serif" w:cs="DejaVu Sans" w:eastAsia="DejaVu Sans"/>
          <w:b w:val="0"/>
          <w:i/>
          <w:color w:val="1C1C1C"/>
          <w:sz w:val="22"/>
        </w:rPr>
        <w:t>set</w:t>
      </w:r>
      <w:r>
        <w:rPr>
          <w:rFonts w:ascii="Liberation Serif" w:hAnsi="Liberation Serif" w:cs="DejaVu Sans" w:eastAsia="DejaVu Sans"/>
          <w:b w:val="0"/>
          <w:i w:val="0"/>
          <w:color w:val="1C1C1C"/>
          <w:sz w:val="22"/>
        </w:rPr>
        <w:t xml:space="preserve"> of disjoint-letter chapters, not of any individual tag — same-tag chapters are not similar in length (label-permutation p = 0.29), confirming the tag indexes position and time, not magnitude class.</w:t>
      </w:r>
    </w:p>
    <w:p>
      <w:pPr>
        <w:spacing w:after="60" w:before="160" w:line="240" w:lineRule="auto"/>
        <w:jc w:val="both"/>
      </w:pPr>
      <w:r>
        <w:rPr>
          <w:rFonts w:ascii="Liberation Sans" w:hAnsi="Liberation Sans" w:cs="DejaVu Sans" w:eastAsia="DejaVu Sans"/>
          <w:b/>
          <w:i w:val="0"/>
          <w:color w:val="1E2761"/>
          <w:sz w:val="24"/>
        </w:rPr>
        <w:t>Revelation order: provenance and caveat</w:t>
      </w:r>
    </w:p>
    <w:p>
      <w:pPr>
        <w:spacing w:after="160" w:before="0" w:line="240" w:lineRule="auto"/>
        <w:jc w:val="both"/>
      </w:pPr>
      <w:r>
        <w:rPr>
          <w:rFonts w:ascii="Liberation Serif" w:hAnsi="Liberation Serif" w:cs="DejaVu Sans" w:eastAsia="DejaVu Sans"/>
          <w:b w:val="0"/>
          <w:i w:val="0"/>
          <w:color w:val="1C1C1C"/>
          <w:sz w:val="22"/>
        </w:rPr>
        <w:t>The nuzūl-contiguity result is the strongest and least-discussed finding, but it depends on the traditional revelation chronology, which is a scholarly reconstruction rather than a certainty. The result is robust in that it also holds in muṣḥaf order, which is independent of the chronology; but the specific claim "revealed in seven consecutive slots" inherits the reconstruction's uncertainty, and the paper flags this rather than burying it. This is the appropriate level of confidence: a finding strong enough to report, honest enough to qualify.</w:t>
      </w:r>
    </w:p>
    <w:p>
      <w:pPr>
        <w:spacing w:after="60" w:before="160" w:line="240" w:lineRule="auto"/>
        <w:jc w:val="both"/>
      </w:pPr>
      <w:r>
        <w:rPr>
          <w:rFonts w:ascii="Liberation Sans" w:hAnsi="Liberation Sans" w:cs="DejaVu Sans" w:eastAsia="DejaVu Sans"/>
          <w:b/>
          <w:i w:val="0"/>
          <w:color w:val="1E2761"/>
          <w:sz w:val="24"/>
        </w:rPr>
        <w:t>What is genuinely new</w:t>
      </w:r>
    </w:p>
    <w:p>
      <w:pPr>
        <w:spacing w:after="160" w:before="0" w:line="240" w:lineRule="auto"/>
        <w:jc w:val="both"/>
      </w:pPr>
      <w:r>
        <w:rPr>
          <w:rFonts w:ascii="Liberation Serif" w:hAnsi="Liberation Serif" w:cs="DejaVu Sans" w:eastAsia="DejaVu Sans"/>
          <w:b w:val="0"/>
          <w:i w:val="0"/>
          <w:color w:val="1C1C1C"/>
          <w:sz w:val="22"/>
        </w:rPr>
        <w:t>Separating discovery from validation: the families themselves (Ḥawāmīm, Alif-Lām-Mīm) are anciently known, as is the fact that disjoint-letter chapters are mostly Meccan and long. The contribution here is the rigorous label-permutation validation that isolates the specific-tag effect; the quantification of revelation-order contiguity; the explicit refutation of the frequency claim under the correct baseline; and the unifying pointer model. The study adds rigor and framing to known structure, plus one genuinely under-explored result (nuzūl contiguity) and one underpowered hypothesis (boundary variants). Stating this division honestly is itself part of the method the wider program teaches.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Synthesis: the Pointer Result in the Wider Program</w:t>
      </w:r>
    </w:p>
    <w:p>
      <w:pPr>
        <w:spacing w:after="160" w:before="0" w:line="240" w:lineRule="auto"/>
        <w:jc w:val="both"/>
      </w:pPr>
      <w:r>
        <w:rPr>
          <w:rFonts w:ascii="Liberation Serif" w:hAnsi="Liberation Serif" w:cs="DejaVu Sans" w:eastAsia="DejaVu Sans"/>
          <w:b w:val="0"/>
          <w:i w:val="0"/>
          <w:color w:val="1C1C1C"/>
          <w:sz w:val="22"/>
        </w:rPr>
        <w:t>The disjoint-letters study is the strongest validated result of a three-part program, and its place in that program explains why. The biology study showed that scripture and the genome share a general combinatorial grammar. The signal study showed, by exhaustive measurement, that the Qur'an's verse-level content is generic to Arabic, with only organizational features surviving. The disjoint-letters study completes the arc: it takes a feature long treated as a content puzzle and shows, with a conservative null, that it is purely organizational — a positional and temporal index.</w:t>
      </w:r>
    </w:p>
    <w:p>
      <w:pPr>
        <w:spacing w:after="160" w:before="0" w:line="240" w:lineRule="auto"/>
        <w:jc w:val="both"/>
      </w:pPr>
      <w:r>
        <w:rPr>
          <w:rFonts w:ascii="Liberation Serif" w:hAnsi="Liberation Serif" w:cs="DejaVu Sans" w:eastAsia="DejaVu Sans"/>
          <w:b w:val="0"/>
          <w:i w:val="0"/>
          <w:color w:val="1C1C1C"/>
          <w:sz w:val="22"/>
        </w:rPr>
        <w:t>Read together, the three converge on one conclusion: the Qur'an's detectable latent structure is relational, not in local content. The signal study found this negatively (content is generic); the disjoint-letters study finds it positively (the tags organize at p = 2×10⁻⁵). That a negative and a positive line of evidence point the same way is what gives the conclusion its weight. The pointer model — tags that group long chapters into families contiguous in book and revelation order while carrying no shared theme — is the cleanest single instance of relational structure the program has produced.</w:t>
      </w:r>
    </w:p>
    <w:p>
      <w:pPr>
        <w:spacing w:after="160" w:before="0" w:line="240" w:lineRule="auto"/>
        <w:jc w:val="both"/>
      </w:pPr>
      <w:r>
        <w:rPr>
          <w:rFonts w:ascii="Liberation Serif" w:hAnsi="Liberation Serif" w:cs="DejaVu Sans" w:eastAsia="DejaVu Sans"/>
          <w:b w:val="0"/>
          <w:i w:val="0"/>
          <w:color w:val="1C1C1C"/>
          <w:sz w:val="22"/>
        </w:rPr>
        <w:t>The concrete anchor is the Ḥawāmīm: «حمٓ» on chapters 40–46, revealed in slots 60–66, opening repeatedly on «تَنزِيلُ ٱلْكِتَـٰبِ» — a contiguous, consecutively-revealed family announcing the Book, yet not unified by measurable content. The honest division of credit remains: the families are anciently known; the study adds rigorous validation, the revelation-order quantification, the refutation of the frequency claim, and the unifying pointer framing. What the program gains from this study is a validated, relational, organizational feature — and a clear mandate to pursue relational and network methods, with an external Arabic baseline, next.</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Objections and Replies</w:t>
      </w:r>
    </w:p>
    <w:p>
      <w:pPr>
        <w:spacing w:after="160" w:before="0" w:line="240" w:lineRule="auto"/>
        <w:jc w:val="both"/>
      </w:pPr>
      <w:r>
        <w:rPr>
          <w:rFonts w:ascii="Liberation Serif" w:hAnsi="Liberation Serif" w:cs="DejaVu Sans" w:eastAsia="DejaVu Sans"/>
          <w:b/>
          <w:i w:val="0"/>
          <w:color w:val="1C1C1C"/>
          <w:sz w:val="22"/>
        </w:rPr>
        <w:t>"The families are already known, so there is no finding."</w:t>
      </w:r>
      <w:r>
        <w:rPr>
          <w:rFonts w:ascii="Liberation Serif" w:hAnsi="Liberation Serif" w:cs="DejaVu Sans" w:eastAsia="DejaVu Sans"/>
          <w:b w:val="0"/>
          <w:i w:val="0"/>
          <w:color w:val="1C1C1C"/>
          <w:sz w:val="22"/>
        </w:rPr>
        <w:t xml:space="preserve"> The families are known; their </w:t>
      </w:r>
      <w:r>
        <w:rPr>
          <w:rFonts w:ascii="Liberation Serif" w:hAnsi="Liberation Serif" w:cs="DejaVu Sans" w:eastAsia="DejaVu Sans"/>
          <w:b w:val="0"/>
          <w:i/>
          <w:color w:val="1C1C1C"/>
          <w:sz w:val="22"/>
        </w:rPr>
        <w:t>validation</w:t>
      </w:r>
      <w:r>
        <w:rPr>
          <w:rFonts w:ascii="Liberation Serif" w:hAnsi="Liberation Serif" w:cs="DejaVu Sans" w:eastAsia="DejaVu Sans"/>
          <w:b w:val="0"/>
          <w:i w:val="0"/>
          <w:color w:val="1C1C1C"/>
          <w:sz w:val="22"/>
        </w:rPr>
        <w:t xml:space="preserve"> is not. Knowing that the Ḥawāmīm group is qualitative; showing at p = 2×10⁻⁵ (label-permutation, controlling for background clustering) that the specific tag predicts contiguity in two independent orderings is quantitative, and the revelation-order result is largely unexplored.</w:t>
      </w:r>
    </w:p>
    <w:p>
      <w:pPr>
        <w:spacing w:after="160" w:before="0" w:line="240" w:lineRule="auto"/>
        <w:jc w:val="both"/>
      </w:pPr>
      <w:r>
        <w:rPr>
          <w:rFonts w:ascii="Liberation Serif" w:hAnsi="Liberation Serif" w:cs="DejaVu Sans" w:eastAsia="DejaVu Sans"/>
          <w:b/>
          <w:i w:val="0"/>
          <w:color w:val="1C1C1C"/>
          <w:sz w:val="22"/>
        </w:rPr>
        <w:t>"The chapters cluster anyway, so contiguity is meaningless."</w:t>
      </w:r>
      <w:r>
        <w:rPr>
          <w:rFonts w:ascii="Liberation Serif" w:hAnsi="Liberation Serif" w:cs="DejaVu Sans" w:eastAsia="DejaVu Sans"/>
          <w:b w:val="0"/>
          <w:i w:val="0"/>
          <w:color w:val="1C1C1C"/>
          <w:sz w:val="22"/>
        </w:rPr>
        <w:t xml:space="preserve"> That confound is precisely what the label-permutation null removes: it freezes the chapters and shuffles only the tags, so the test measures the tag effect over and above background clustering. The effect survives.</w:t>
      </w:r>
    </w:p>
    <w:p>
      <w:pPr>
        <w:spacing w:after="160" w:before="0" w:line="240" w:lineRule="auto"/>
        <w:jc w:val="both"/>
      </w:pPr>
      <w:r>
        <w:rPr>
          <w:rFonts w:ascii="Liberation Serif" w:hAnsi="Liberation Serif" w:cs="DejaVu Sans" w:eastAsia="DejaVu Sans"/>
          <w:b/>
          <w:i w:val="0"/>
          <w:color w:val="1C1C1C"/>
          <w:sz w:val="22"/>
        </w:rPr>
        <w:t>"You disproved your own pointer idea by finding no content link."</w:t>
      </w:r>
      <w:r>
        <w:rPr>
          <w:rFonts w:ascii="Liberation Serif" w:hAnsi="Liberation Serif" w:cs="DejaVu Sans" w:eastAsia="DejaVu Sans"/>
          <w:b w:val="0"/>
          <w:i w:val="0"/>
          <w:color w:val="1C1C1C"/>
          <w:sz w:val="22"/>
        </w:rPr>
        <w:t xml:space="preserve"> No — the absence of a content link </w:t>
      </w:r>
      <w:r>
        <w:rPr>
          <w:rFonts w:ascii="Liberation Serif" w:hAnsi="Liberation Serif" w:cs="DejaVu Sans" w:eastAsia="DejaVu Sans"/>
          <w:b w:val="0"/>
          <w:i/>
          <w:color w:val="1C1C1C"/>
          <w:sz w:val="22"/>
        </w:rPr>
        <w:t>is</w:t>
      </w:r>
      <w:r>
        <w:rPr>
          <w:rFonts w:ascii="Liberation Serif" w:hAnsi="Liberation Serif" w:cs="DejaVu Sans" w:eastAsia="DejaVu Sans"/>
          <w:b w:val="0"/>
          <w:i w:val="0"/>
          <w:color w:val="1C1C1C"/>
          <w:sz w:val="22"/>
        </w:rPr>
        <w:t xml:space="preserve"> the pointer idea. A pointer references and groups; it does not describe. Finding p = 0.27 for shared theme is the predicted negative, not a refutation.</w:t>
      </w:r>
    </w:p>
    <w:p>
      <w:pPr>
        <w:spacing w:after="160" w:before="0" w:line="240" w:lineRule="auto"/>
        <w:jc w:val="both"/>
      </w:pPr>
      <w:r>
        <w:rPr>
          <w:rFonts w:ascii="Liberation Serif" w:hAnsi="Liberation Serif" w:cs="DejaVu Sans" w:eastAsia="DejaVu Sans"/>
          <w:b/>
          <w:i w:val="0"/>
          <w:color w:val="1C1C1C"/>
          <w:sz w:val="22"/>
        </w:rPr>
        <w:t>"Revelation order is uncertain."</w:t>
      </w:r>
      <w:r>
        <w:rPr>
          <w:rFonts w:ascii="Liberation Serif" w:hAnsi="Liberation Serif" w:cs="DejaVu Sans" w:eastAsia="DejaVu Sans"/>
          <w:b w:val="0"/>
          <w:i w:val="0"/>
          <w:color w:val="1C1C1C"/>
          <w:sz w:val="22"/>
        </w:rPr>
        <w:t xml:space="preserve"> Acknowledged and flagged. The result also holds in muṣḥaf order, which is independent of the chronology; the specific "seven consecutive slots" claim inherits the reconstruction's uncertainty and is reported with that caveat.</w:t>
      </w:r>
    </w:p>
    <w:p>
      <w:pPr>
        <w:spacing w:after="160" w:before="0" w:line="240" w:lineRule="auto"/>
        <w:jc w:val="both"/>
      </w:pPr>
      <w:r>
        <w:rPr>
          <w:rFonts w:ascii="Liberation Serif" w:hAnsi="Liberation Serif" w:cs="DejaVu Sans" w:eastAsia="DejaVu Sans"/>
          <w:b/>
          <w:i w:val="0"/>
          <w:color w:val="1C1C1C"/>
          <w:sz w:val="22"/>
        </w:rPr>
        <w:t>"What is the single takeaway?"</w:t>
      </w:r>
      <w:r>
        <w:rPr>
          <w:rFonts w:ascii="Liberation Serif" w:hAnsi="Liberation Serif" w:cs="DejaVu Sans" w:eastAsia="DejaVu Sans"/>
          <w:b w:val="0"/>
          <w:i w:val="0"/>
          <w:color w:val="1C1C1C"/>
          <w:sz w:val="22"/>
        </w:rPr>
        <w:t xml:space="preserve"> That the disjoint letters are a validated organizational index — pointers that group the long chapters into families contiguous in book and revelation order while carrying no shared content — the clearest instance in the program of the Qur'an's latent structure being relational rather than content-based.</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Key Numbers at a Glance</w:t>
      </w:r>
    </w:p>
    <w:p>
      <w:pPr>
        <w:spacing w:after="160" w:before="0" w:line="240" w:lineRule="auto"/>
        <w:jc w:val="both"/>
      </w:pPr>
      <w:r>
        <w:rPr>
          <w:rFonts w:ascii="Liberation Serif" w:hAnsi="Liberation Serif" w:cs="DejaVu Sans" w:eastAsia="DejaVu Sans"/>
          <w:b w:val="0"/>
          <w:i w:val="0"/>
          <w:color w:val="1C1C1C"/>
          <w:sz w:val="22"/>
        </w:rPr>
        <w:t>- Scope: 29 muqaṭṭaʿāt chapters; 14 distinct openings; 4 multi-member families (الٓمٓ ×6, حمٓ ×7, الٓرٓ ×5, طسٓمٓ ×2) and 9 singletons.</w:t>
      </w:r>
    </w:p>
    <w:p>
      <w:pPr>
        <w:spacing w:after="160" w:before="0" w:line="240" w:lineRule="auto"/>
        <w:jc w:val="both"/>
      </w:pPr>
      <w:r>
        <w:rPr>
          <w:rFonts w:ascii="Liberation Serif" w:hAnsi="Liberation Serif" w:cs="DejaVu Sans" w:eastAsia="DejaVu Sans"/>
          <w:b w:val="0"/>
          <w:i w:val="0"/>
          <w:color w:val="1C1C1C"/>
          <w:sz w:val="22"/>
        </w:rPr>
        <w:t>- Specific-tag contiguity (label-permutation null, 50,000 permutations): muṣḥaf order p = 2×10⁻⁵; revelation (nuzūl) order p = 2×10⁻⁵.</w:t>
      </w:r>
    </w:p>
    <w:p>
      <w:pPr>
        <w:spacing w:after="160" w:before="0" w:line="240" w:lineRule="auto"/>
        <w:jc w:val="both"/>
      </w:pPr>
      <w:r>
        <w:rPr>
          <w:rFonts w:ascii="Liberation Serif" w:hAnsi="Liberation Serif" w:cs="DejaVu Sans" w:eastAsia="DejaVu Sans"/>
          <w:b w:val="0"/>
          <w:i w:val="0"/>
          <w:color w:val="1C1C1C"/>
          <w:sz w:val="22"/>
        </w:rPr>
        <w:t>- Family detail: حمٓ = chapters 40–46, revealed slots 60–66 (seven consecutive); الٓرٓ = 10–15, revealed 51–54 + 72.</w:t>
      </w:r>
    </w:p>
    <w:p>
      <w:pPr>
        <w:spacing w:after="160" w:before="0" w:line="240" w:lineRule="auto"/>
        <w:jc w:val="both"/>
      </w:pPr>
      <w:r>
        <w:rPr>
          <w:rFonts w:ascii="Liberation Serif" w:hAnsi="Liberation Serif" w:cs="DejaVu Sans" w:eastAsia="DejaVu Sans"/>
          <w:b w:val="0"/>
          <w:i w:val="0"/>
          <w:color w:val="1C1C1C"/>
          <w:sz w:val="22"/>
        </w:rPr>
        <w:t>- Per-family contiguity: حمٓ, الٓرٓ p ≈ 0; الٓمٓ p = 0.009 (muṣḥaf) / 0.004 (nuzūl); طسٓمٓ p = 0.034.</w:t>
      </w:r>
    </w:p>
    <w:p>
      <w:pPr>
        <w:spacing w:after="160" w:before="0" w:line="240" w:lineRule="auto"/>
        <w:jc w:val="both"/>
      </w:pPr>
      <w:r>
        <w:rPr>
          <w:rFonts w:ascii="Liberation Serif" w:hAnsi="Liberation Serif" w:cs="DejaVu Sans" w:eastAsia="DejaVu Sans"/>
          <w:b w:val="0"/>
          <w:i w:val="0"/>
          <w:color w:val="1C1C1C"/>
          <w:sz w:val="22"/>
        </w:rPr>
        <w:t>- Long-chapter flag: disjoint-letter chapters median 85 verses vs 26 (means 95 vs 41), p = 2×10⁻⁵.</w:t>
      </w:r>
    </w:p>
    <w:p>
      <w:pPr>
        <w:spacing w:after="160" w:before="0" w:line="240" w:lineRule="auto"/>
        <w:jc w:val="both"/>
      </w:pPr>
      <w:r>
        <w:rPr>
          <w:rFonts w:ascii="Liberation Serif" w:hAnsi="Liberation Serif" w:cs="DejaVu Sans" w:eastAsia="DejaVu Sans"/>
          <w:b w:val="0"/>
          <w:i w:val="0"/>
          <w:color w:val="1C1C1C"/>
          <w:sz w:val="22"/>
        </w:rPr>
        <w:t>- No content link: same-tag root-similarity vs random regrouping p = 0.27; within-family cosine ≈ 0.72 ≈ cross-family ≈ 0.69.</w:t>
      </w:r>
    </w:p>
    <w:p>
      <w:pPr>
        <w:spacing w:after="160" w:before="0" w:line="240" w:lineRule="auto"/>
        <w:jc w:val="both"/>
      </w:pPr>
      <w:r>
        <w:rPr>
          <w:rFonts w:ascii="Liberation Serif" w:hAnsi="Liberation Serif" w:cs="DejaVu Sans" w:eastAsia="DejaVu Sans"/>
          <w:b w:val="0"/>
          <w:i w:val="0"/>
          <w:color w:val="1C1C1C"/>
          <w:sz w:val="22"/>
        </w:rPr>
        <w:t>- Refuted frequency claim: own-chapter vs other-chapter letter rank — 0 of 29 significant; mean difference +0.02.</w:t>
      </w:r>
    </w:p>
    <w:p>
      <w:pPr>
        <w:spacing w:after="160" w:before="0" w:line="240" w:lineRule="auto"/>
        <w:jc w:val="both"/>
      </w:pPr>
      <w:r>
        <w:rPr>
          <w:rFonts w:ascii="Liberation Serif" w:hAnsi="Liberation Serif" w:cs="DejaVu Sans" w:eastAsia="DejaVu Sans"/>
          <w:b w:val="0"/>
          <w:i w:val="0"/>
          <w:color w:val="1C1C1C"/>
          <w:sz w:val="22"/>
        </w:rPr>
        <w:t>- Revelation phase: single/short tags early-Meccan; large families late-Meccan; الٓمٓرٓ (13) the lone Medinan, inside the الٓرٓ block.</w:t>
      </w:r>
    </w:p>
    <w:p>
      <w:pPr>
        <w:spacing w:after="160" w:before="0" w:line="240" w:lineRule="auto"/>
        <w:jc w:val="both"/>
      </w:pPr>
      <w:r>
        <w:rPr>
          <w:rFonts w:ascii="Liberation Serif" w:hAnsi="Liberation Serif" w:cs="DejaVu Sans" w:eastAsia="DejaVu Sans"/>
          <w:b w:val="0"/>
          <w:i w:val="0"/>
          <w:color w:val="1C1C1C"/>
          <w:sz w:val="22"/>
        </w:rPr>
        <w:t>Every figure is computed from the tokenized corpus with fixed seeds; the confirmed claims are large and survive a conservative null, while the negatives (content, frequency) are reported as plainly as the positives.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Data and Reproducibility Statement</w:t>
      </w:r>
    </w:p>
    <w:p>
      <w:pPr>
        <w:spacing w:after="160" w:before="0" w:line="240" w:lineRule="auto"/>
        <w:jc w:val="both"/>
      </w:pPr>
      <w:r>
        <w:rPr>
          <w:rFonts w:ascii="Liberation Serif" w:hAnsi="Liberation Serif" w:cs="DejaVu Sans" w:eastAsia="DejaVu Sans"/>
          <w:b w:val="0"/>
          <w:i w:val="0"/>
          <w:color w:val="1C1C1C"/>
          <w:sz w:val="22"/>
        </w:rPr>
        <w:t>All Qur'anic figures in this paper are computed from a single tokenized corpus (internally "Book6": 6,236 verses, 114 chapters), with the root column as the declared anchor and fixed random seeds for every Monte-Carlo and permutation test. Each reported number traces to a specific column and a specific rule, so a reader can reproduce it exactly or re-run it under an alternative definition (for example a stricter triliteral lemmatizer in place of the corpus's normalized stem field, or a different reconstruction of revelation order). Where a definition shifts a count, the qualitative conclusion is robust and the dependence is stated. The figures embedded in this paper are generated programmatically from these same values. No result depends on a hand-selected example: the worked verses illustrate, while the corpus-wide statistics and their nulls decide. This statement is not boilerplate; it is the operational form of the work's central commitment — that a quantitative reading of the text is worth presenting only insofar as it can be checked, line by line, against the same text and the same rules, and that its negative results must be as reproducible as its positive ones.</w:t>
      </w:r>
    </w:p>
    <w:p>
      <w:pPr>
        <w:jc w:val="center"/>
      </w:pPr>
      <w:r>
        <w:rPr>
          <w:rFonts w:ascii="Liberation Sans" w:hAnsi="Liberation Sans" w:cs="DejaVu Sans" w:eastAsia="DejaVu Sans"/>
          <w:b/>
          <w:color w:val="1E2761"/>
          <w:sz w:val="20"/>
        </w:rPr>
        <w:t>Table 1. Summary of tests (all 29 muqatta'at suras).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
              <w:rPr>
                <w:rFonts w:ascii="Liberation Serif" w:hAnsi="Liberation Serif" w:cs="DejaVu Sans" w:eastAsia="DejaVu Sans"/>
                <w:b/>
                <w:sz w:val="19"/>
              </w:rPr>
              <w:t>Test</w:t>
            </w:r>
          </w:p>
        </w:tc>
        <w:tc>
          <w:tcPr>
            <w:tcW w:type="dxa" w:w="4680"/>
          </w:tcPr>
          <w:p>
            <w:r/>
            <w:r>
              <w:rPr>
                <w:rFonts w:ascii="Liberation Serif" w:hAnsi="Liberation Serif" w:cs="DejaVu Sans" w:eastAsia="DejaVu Sans"/>
                <w:b/>
                <w:sz w:val="19"/>
              </w:rPr>
              <w:t>Result</w:t>
            </w:r>
          </w:p>
        </w:tc>
      </w:tr>
      <w:tr>
        <w:tc>
          <w:tcPr>
            <w:tcW w:type="dxa" w:w="4680"/>
          </w:tcPr>
          <w:p>
            <w:r/>
            <w:r>
              <w:rPr>
                <w:rFonts w:ascii="Liberation Serif" w:hAnsi="Liberation Serif" w:cs="DejaVu Sans" w:eastAsia="DejaVu Sans"/>
                <w:b w:val="0"/>
                <w:sz w:val="19"/>
              </w:rPr>
              <w:t>Tag -&gt; mushaf contiguity</w:t>
            </w:r>
          </w:p>
        </w:tc>
        <w:tc>
          <w:tcPr>
            <w:tcW w:type="dxa" w:w="4680"/>
          </w:tcPr>
          <w:p>
            <w:r/>
            <w:r>
              <w:rPr>
                <w:rFonts w:ascii="Liberation Serif" w:hAnsi="Liberation Serif" w:cs="DejaVu Sans" w:eastAsia="DejaVu Sans"/>
                <w:b w:val="0"/>
                <w:sz w:val="19"/>
              </w:rPr>
              <w:t>p = 2x10^-5 OK</w:t>
            </w:r>
          </w:p>
        </w:tc>
      </w:tr>
      <w:tr>
        <w:tc>
          <w:tcPr>
            <w:tcW w:type="dxa" w:w="4680"/>
          </w:tcPr>
          <w:p>
            <w:r/>
            <w:r>
              <w:rPr>
                <w:rFonts w:ascii="Liberation Serif" w:hAnsi="Liberation Serif" w:cs="DejaVu Sans" w:eastAsia="DejaVu Sans"/>
                <w:b w:val="0"/>
                <w:sz w:val="19"/>
              </w:rPr>
              <w:t>Tag -&gt; revelation-order contiguity</w:t>
            </w:r>
          </w:p>
        </w:tc>
        <w:tc>
          <w:tcPr>
            <w:tcW w:type="dxa" w:w="4680"/>
          </w:tcPr>
          <w:p>
            <w:r/>
            <w:r>
              <w:rPr>
                <w:rFonts w:ascii="Liberation Serif" w:hAnsi="Liberation Serif" w:cs="DejaVu Sans" w:eastAsia="DejaVu Sans"/>
                <w:b w:val="0"/>
                <w:sz w:val="19"/>
              </w:rPr>
              <w:t>p = 2x10^-5 OK</w:t>
            </w:r>
          </w:p>
        </w:tc>
      </w:tr>
      <w:tr>
        <w:tc>
          <w:tcPr>
            <w:tcW w:type="dxa" w:w="4680"/>
          </w:tcPr>
          <w:p>
            <w:r/>
            <w:r>
              <w:rPr>
                <w:rFonts w:ascii="Liberation Serif" w:hAnsi="Liberation Serif" w:cs="DejaVu Sans" w:eastAsia="DejaVu Sans"/>
                <w:b w:val="0"/>
                <w:sz w:val="19"/>
              </w:rPr>
              <w:t>Disjoint-letter suras are long</w:t>
            </w:r>
          </w:p>
        </w:tc>
        <w:tc>
          <w:tcPr>
            <w:tcW w:type="dxa" w:w="4680"/>
          </w:tcPr>
          <w:p>
            <w:r/>
            <w:r>
              <w:rPr>
                <w:rFonts w:ascii="Liberation Serif" w:hAnsi="Liberation Serif" w:cs="DejaVu Sans" w:eastAsia="DejaVu Sans"/>
                <w:b w:val="0"/>
                <w:sz w:val="19"/>
              </w:rPr>
              <w:t>median 85 vs 26, p = 2x10^-5 OK</w:t>
            </w:r>
          </w:p>
        </w:tc>
      </w:tr>
      <w:tr>
        <w:tc>
          <w:tcPr>
            <w:tcW w:type="dxa" w:w="4680"/>
          </w:tcPr>
          <w:p>
            <w:r/>
            <w:r>
              <w:rPr>
                <w:rFonts w:ascii="Liberation Serif" w:hAnsi="Liberation Serif" w:cs="DejaVu Sans" w:eastAsia="DejaVu Sans"/>
                <w:b w:val="0"/>
                <w:sz w:val="19"/>
              </w:rPr>
              <w:t>Shared content/theme by tag</w:t>
            </w:r>
          </w:p>
        </w:tc>
        <w:tc>
          <w:tcPr>
            <w:tcW w:type="dxa" w:w="4680"/>
          </w:tcPr>
          <w:p>
            <w:r/>
            <w:r>
              <w:rPr>
                <w:rFonts w:ascii="Liberation Serif" w:hAnsi="Liberation Serif" w:cs="DejaVu Sans" w:eastAsia="DejaVu Sans"/>
                <w:b w:val="0"/>
                <w:sz w:val="19"/>
              </w:rPr>
              <w:t>p = 0.27 (none) X</w:t>
            </w:r>
          </w:p>
        </w:tc>
      </w:tr>
      <w:tr>
        <w:tc>
          <w:tcPr>
            <w:tcW w:type="dxa" w:w="4680"/>
          </w:tcPr>
          <w:p>
            <w:r/>
            <w:r>
              <w:rPr>
                <w:rFonts w:ascii="Liberation Serif" w:hAnsi="Liberation Serif" w:cs="DejaVu Sans" w:eastAsia="DejaVu Sans"/>
                <w:b w:val="0"/>
                <w:sz w:val="19"/>
              </w:rPr>
              <w:t>Frequency-enrichment claim</w:t>
            </w:r>
          </w:p>
        </w:tc>
        <w:tc>
          <w:tcPr>
            <w:tcW w:type="dxa" w:w="4680"/>
          </w:tcPr>
          <w:p>
            <w:r/>
            <w:r>
              <w:rPr>
                <w:rFonts w:ascii="Liberation Serif" w:hAnsi="Liberation Serif" w:cs="DejaVu Sans" w:eastAsia="DejaVu Sans"/>
                <w:b w:val="0"/>
                <w:sz w:val="19"/>
              </w:rPr>
              <w:t>0/29 (refuted) X</w:t>
            </w:r>
          </w:p>
        </w:tc>
      </w:tr>
    </w:tbl>
    <w:p/>
    <w:p>
      <w:r>
        <w:rPr>
          <w:rFonts w:ascii="Liberation Sans" w:hAnsi="Liberation Sans" w:cs="DejaVu Sans" w:eastAsia="DejaVu Sans"/>
          <w:b/>
          <w:color w:val="1E2761"/>
          <w:sz w:val="28"/>
        </w:rPr>
        <w:t>Figures</w:t>
      </w:r>
    </w:p>
    <w:p>
      <w:pPr>
        <w:jc w:val="center"/>
      </w:pPr>
      <w:r>
        <w:drawing>
          <wp:inline xmlns:a="http://schemas.openxmlformats.org/drawingml/2006/main" xmlns:pic="http://schemas.openxmlformats.org/drawingml/2006/picture">
            <wp:extent cx="4754880" cy="1794294"/>
            <wp:docPr id="1" name="Picture 1"/>
            <wp:cNvGraphicFramePr>
              <a:graphicFrameLocks noChangeAspect="1"/>
            </wp:cNvGraphicFramePr>
            <a:graphic>
              <a:graphicData uri="http://schemas.openxmlformats.org/drawingml/2006/picture">
                <pic:pic>
                  <pic:nvPicPr>
                    <pic:cNvPr id="0" name="fig01_mushaf.png"/>
                    <pic:cNvPicPr/>
                  </pic:nvPicPr>
                  <pic:blipFill>
                    <a:blip r:embed="rId10"/>
                    <a:stretch>
                      <a:fillRect/>
                    </a:stretch>
                  </pic:blipFill>
                  <pic:spPr>
                    <a:xfrm>
                      <a:off x="0" y="0"/>
                      <a:ext cx="4754880" cy="1794294"/>
                    </a:xfrm>
                    <a:prstGeom prst="rect"/>
                  </pic:spPr>
                </pic:pic>
              </a:graphicData>
            </a:graphic>
          </wp:inline>
        </w:drawing>
      </w:r>
    </w:p>
    <w:p>
      <w:pPr>
        <w:spacing w:after="200"/>
        <w:jc w:val="center"/>
      </w:pPr>
      <w:r>
        <w:rPr>
          <w:rFonts w:ascii="Liberation Sans" w:hAnsi="Liberation Sans" w:cs="DejaVu Sans" w:eastAsia="DejaVu Sans"/>
          <w:i/>
          <w:color w:val="606060"/>
          <w:sz w:val="18"/>
        </w:rPr>
        <w:t>Figure 1. Disjoint-letter families cluster in mushaf order (label-permutation p=2x10^-5).</w:t>
      </w:r>
    </w:p>
    <w:p>
      <w:pPr>
        <w:jc w:val="center"/>
      </w:pPr>
      <w:r>
        <w:drawing>
          <wp:inline xmlns:a="http://schemas.openxmlformats.org/drawingml/2006/main" xmlns:pic="http://schemas.openxmlformats.org/drawingml/2006/picture">
            <wp:extent cx="4754880" cy="1933303"/>
            <wp:docPr id="2" name="Picture 2"/>
            <wp:cNvGraphicFramePr>
              <a:graphicFrameLocks noChangeAspect="1"/>
            </wp:cNvGraphicFramePr>
            <a:graphic>
              <a:graphicData uri="http://schemas.openxmlformats.org/drawingml/2006/picture">
                <pic:pic>
                  <pic:nvPicPr>
                    <pic:cNvPr id="0" name="fig02_nuzul.png"/>
                    <pic:cNvPicPr/>
                  </pic:nvPicPr>
                  <pic:blipFill>
                    <a:blip r:embed="rId11"/>
                    <a:stretch>
                      <a:fillRect/>
                    </a:stretch>
                  </pic:blipFill>
                  <pic:spPr>
                    <a:xfrm>
                      <a:off x="0" y="0"/>
                      <a:ext cx="4754880" cy="1933303"/>
                    </a:xfrm>
                    <a:prstGeom prst="rect"/>
                  </pic:spPr>
                </pic:pic>
              </a:graphicData>
            </a:graphic>
          </wp:inline>
        </w:drawing>
      </w:r>
    </w:p>
    <w:p>
      <w:pPr>
        <w:spacing w:after="200"/>
        <w:jc w:val="center"/>
      </w:pPr>
      <w:r>
        <w:rPr>
          <w:rFonts w:ascii="Liberation Sans" w:hAnsi="Liberation Sans" w:cs="DejaVu Sans" w:eastAsia="DejaVu Sans"/>
          <w:i/>
          <w:color w:val="606060"/>
          <w:sz w:val="18"/>
        </w:rPr>
        <w:t>Figure 2. The Hawamim (HM) were revealed in seven consecutive slots (60-66).</w:t>
      </w:r>
    </w:p>
    <w:p>
      <w:pPr>
        <w:jc w:val="center"/>
      </w:pPr>
      <w:r>
        <w:drawing>
          <wp:inline xmlns:a="http://schemas.openxmlformats.org/drawingml/2006/main" xmlns:pic="http://schemas.openxmlformats.org/drawingml/2006/picture">
            <wp:extent cx="4754880" cy="3323668"/>
            <wp:docPr id="3" name="Picture 3"/>
            <wp:cNvGraphicFramePr>
              <a:graphicFrameLocks noChangeAspect="1"/>
            </wp:cNvGraphicFramePr>
            <a:graphic>
              <a:graphicData uri="http://schemas.openxmlformats.org/drawingml/2006/picture">
                <pic:pic>
                  <pic:nvPicPr>
                    <pic:cNvPr id="0" name="fig03_long.png"/>
                    <pic:cNvPicPr/>
                  </pic:nvPicPr>
                  <pic:blipFill>
                    <a:blip r:embed="rId12"/>
                    <a:stretch>
                      <a:fillRect/>
                    </a:stretch>
                  </pic:blipFill>
                  <pic:spPr>
                    <a:xfrm>
                      <a:off x="0" y="0"/>
                      <a:ext cx="4754880" cy="3323668"/>
                    </a:xfrm>
                    <a:prstGeom prst="rect"/>
                  </pic:spPr>
                </pic:pic>
              </a:graphicData>
            </a:graphic>
          </wp:inline>
        </w:drawing>
      </w:r>
    </w:p>
    <w:p>
      <w:pPr>
        <w:spacing w:after="200"/>
        <w:jc w:val="center"/>
      </w:pPr>
      <w:r>
        <w:rPr>
          <w:rFonts w:ascii="Liberation Sans" w:hAnsi="Liberation Sans" w:cs="DejaVu Sans" w:eastAsia="DejaVu Sans"/>
          <w:i/>
          <w:color w:val="606060"/>
          <w:sz w:val="18"/>
        </w:rPr>
        <w:t>Figure 3. Disjoint-letter suras are the long ones (median 85 vs 26 verses, p=2x10^-5).</w:t>
      </w:r>
    </w:p>
    <w:p>
      <w:pPr>
        <w:jc w:val="center"/>
      </w:pPr>
      <w:r>
        <w:drawing>
          <wp:inline xmlns:a="http://schemas.openxmlformats.org/drawingml/2006/main" xmlns:pic="http://schemas.openxmlformats.org/drawingml/2006/picture">
            <wp:extent cx="4754880" cy="2837870"/>
            <wp:docPr id="4" name="Picture 4"/>
            <wp:cNvGraphicFramePr>
              <a:graphicFrameLocks noChangeAspect="1"/>
            </wp:cNvGraphicFramePr>
            <a:graphic>
              <a:graphicData uri="http://schemas.openxmlformats.org/drawingml/2006/picture">
                <pic:pic>
                  <pic:nvPicPr>
                    <pic:cNvPr id="0" name="fig04_falsepos.png"/>
                    <pic:cNvPicPr/>
                  </pic:nvPicPr>
                  <pic:blipFill>
                    <a:blip r:embed="rId13"/>
                    <a:stretch>
                      <a:fillRect/>
                    </a:stretch>
                  </pic:blipFill>
                  <pic:spPr>
                    <a:xfrm>
                      <a:off x="0" y="0"/>
                      <a:ext cx="4754880" cy="2837870"/>
                    </a:xfrm>
                    <a:prstGeom prst="rect"/>
                  </pic:spPr>
                </pic:pic>
              </a:graphicData>
            </a:graphic>
          </wp:inline>
        </w:drawing>
      </w:r>
    </w:p>
    <w:p>
      <w:pPr>
        <w:spacing w:after="200"/>
        <w:jc w:val="center"/>
      </w:pPr>
      <w:r>
        <w:rPr>
          <w:rFonts w:ascii="Liberation Sans" w:hAnsi="Liberation Sans" w:cs="DejaVu Sans" w:eastAsia="DejaVu Sans"/>
          <w:i/>
          <w:color w:val="606060"/>
          <w:sz w:val="18"/>
        </w:rPr>
        <w:t>Figure 4. The frequency claim collapses under the cross-sura baseline (own ~ others; 0/29).</w:t>
      </w:r>
    </w:p>
    <w:p>
      <w:pPr>
        <w:jc w:val="center"/>
      </w:pPr>
      <w:r>
        <w:drawing>
          <wp:inline xmlns:a="http://schemas.openxmlformats.org/drawingml/2006/main" xmlns:pic="http://schemas.openxmlformats.org/drawingml/2006/picture">
            <wp:extent cx="4754880" cy="2644598"/>
            <wp:docPr id="5" name="Picture 5"/>
            <wp:cNvGraphicFramePr>
              <a:graphicFrameLocks noChangeAspect="1"/>
            </wp:cNvGraphicFramePr>
            <a:graphic>
              <a:graphicData uri="http://schemas.openxmlformats.org/drawingml/2006/picture">
                <pic:pic>
                  <pic:nvPicPr>
                    <pic:cNvPr id="0" name="fig05_perfamily.png"/>
                    <pic:cNvPicPr/>
                  </pic:nvPicPr>
                  <pic:blipFill>
                    <a:blip r:embed="rId14"/>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DejaVu Sans" w:eastAsia="DejaVu Sans"/>
          <w:i/>
          <w:color w:val="606060"/>
          <w:sz w:val="18"/>
        </w:rPr>
        <w:t>Figure 5. Per-family contiguity significance (-log10 p).</w:t>
      </w:r>
    </w:p>
    <w:p>
      <w:pPr>
        <w:jc w:val="center"/>
      </w:pPr>
      <w:r>
        <w:drawing>
          <wp:inline xmlns:a="http://schemas.openxmlformats.org/drawingml/2006/main" xmlns:pic="http://schemas.openxmlformats.org/drawingml/2006/picture">
            <wp:extent cx="4754880" cy="2177421"/>
            <wp:docPr id="6" name="Picture 6"/>
            <wp:cNvGraphicFramePr>
              <a:graphicFrameLocks noChangeAspect="1"/>
            </wp:cNvGraphicFramePr>
            <a:graphic>
              <a:graphicData uri="http://schemas.openxmlformats.org/drawingml/2006/picture">
                <pic:pic>
                  <pic:nvPicPr>
                    <pic:cNvPr id="0" name="fig06_phase.png"/>
                    <pic:cNvPicPr/>
                  </pic:nvPicPr>
                  <pic:blipFill>
                    <a:blip r:embed="rId15"/>
                    <a:stretch>
                      <a:fillRect/>
                    </a:stretch>
                  </pic:blipFill>
                  <pic:spPr>
                    <a:xfrm>
                      <a:off x="0" y="0"/>
                      <a:ext cx="4754880" cy="2177421"/>
                    </a:xfrm>
                    <a:prstGeom prst="rect"/>
                  </pic:spPr>
                </pic:pic>
              </a:graphicData>
            </a:graphic>
          </wp:inline>
        </w:drawing>
      </w:r>
    </w:p>
    <w:p>
      <w:pPr>
        <w:spacing w:after="200"/>
        <w:jc w:val="center"/>
      </w:pPr>
      <w:r>
        <w:rPr>
          <w:rFonts w:ascii="Liberation Sans" w:hAnsi="Liberation Sans" w:cs="DejaVu Sans" w:eastAsia="DejaVu Sans"/>
          <w:i/>
          <w:color w:val="606060"/>
          <w:sz w:val="18"/>
        </w:rPr>
        <w:t>Figure 6. Revelation-phase mapping: mean nuzul slot by tag (simple early, families late).</w:t>
      </w:r>
    </w:p>
    <w:p>
      <w:pPr>
        <w:jc w:val="center"/>
      </w:pPr>
      <w:r>
        <w:drawing>
          <wp:inline xmlns:a="http://schemas.openxmlformats.org/drawingml/2006/main" xmlns:pic="http://schemas.openxmlformats.org/drawingml/2006/picture">
            <wp:extent cx="4754880" cy="2644598"/>
            <wp:docPr id="7" name="Picture 7"/>
            <wp:cNvGraphicFramePr>
              <a:graphicFrameLocks noChangeAspect="1"/>
            </wp:cNvGraphicFramePr>
            <a:graphic>
              <a:graphicData uri="http://schemas.openxmlformats.org/drawingml/2006/picture">
                <pic:pic>
                  <pic:nvPicPr>
                    <pic:cNvPr id="0" name="fig07_labelperm.png"/>
                    <pic:cNvPicPr/>
                  </pic:nvPicPr>
                  <pic:blipFill>
                    <a:blip r:embed="rId16"/>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DejaVu Sans" w:eastAsia="DejaVu Sans"/>
          <w:i/>
          <w:color w:val="606060"/>
          <w:sz w:val="18"/>
        </w:rPr>
        <w:t>Figure 7. Label-permutation null vs the observed within-family distance (p=2x10^-5).</w:t>
      </w:r>
    </w:p>
    <w:p>
      <w:pPr>
        <w:jc w:val="center"/>
      </w:pPr>
      <w:r>
        <w:drawing>
          <wp:inline xmlns:a="http://schemas.openxmlformats.org/drawingml/2006/main" xmlns:pic="http://schemas.openxmlformats.org/drawingml/2006/picture">
            <wp:extent cx="4754880" cy="2945501"/>
            <wp:docPr id="8" name="Picture 8"/>
            <wp:cNvGraphicFramePr>
              <a:graphicFrameLocks noChangeAspect="1"/>
            </wp:cNvGraphicFramePr>
            <a:graphic>
              <a:graphicData uri="http://schemas.openxmlformats.org/drawingml/2006/picture">
                <pic:pic>
                  <pic:nvPicPr>
                    <pic:cNvPr id="0" name="fig08_content.png"/>
                    <pic:cNvPicPr/>
                  </pic:nvPicPr>
                  <pic:blipFill>
                    <a:blip r:embed="rId17"/>
                    <a:stretch>
                      <a:fillRect/>
                    </a:stretch>
                  </pic:blipFill>
                  <pic:spPr>
                    <a:xfrm>
                      <a:off x="0" y="0"/>
                      <a:ext cx="4754880" cy="2945501"/>
                    </a:xfrm>
                    <a:prstGeom prst="rect"/>
                  </pic:spPr>
                </pic:pic>
              </a:graphicData>
            </a:graphic>
          </wp:inline>
        </w:drawing>
      </w:r>
    </w:p>
    <w:p>
      <w:pPr>
        <w:spacing w:after="200"/>
        <w:jc w:val="center"/>
      </w:pPr>
      <w:r>
        <w:rPr>
          <w:rFonts w:ascii="Liberation Sans" w:hAnsi="Liberation Sans" w:cs="DejaVu Sans" w:eastAsia="DejaVu Sans"/>
          <w:i/>
          <w:color w:val="606060"/>
          <w:sz w:val="18"/>
        </w:rPr>
        <w:t>Figure 8. No content link by tag: within-family ~ cross-family root similarity (p=0.27).</w:t>
      </w:r>
    </w:p>
    <w:p>
      <w:pPr>
        <w:jc w:val="center"/>
      </w:pPr>
      <w:r>
        <w:drawing>
          <wp:inline xmlns:a="http://schemas.openxmlformats.org/drawingml/2006/main" xmlns:pic="http://schemas.openxmlformats.org/drawingml/2006/picture">
            <wp:extent cx="4754880" cy="2837870"/>
            <wp:docPr id="9" name="Picture 9"/>
            <wp:cNvGraphicFramePr>
              <a:graphicFrameLocks noChangeAspect="1"/>
            </wp:cNvGraphicFramePr>
            <a:graphic>
              <a:graphicData uri="http://schemas.openxmlformats.org/drawingml/2006/picture">
                <pic:pic>
                  <pic:nvPicPr>
                    <pic:cNvPr id="0" name="fig09_sizes.png"/>
                    <pic:cNvPicPr/>
                  </pic:nvPicPr>
                  <pic:blipFill>
                    <a:blip r:embed="rId18"/>
                    <a:stretch>
                      <a:fillRect/>
                    </a:stretch>
                  </pic:blipFill>
                  <pic:spPr>
                    <a:xfrm>
                      <a:off x="0" y="0"/>
                      <a:ext cx="4754880" cy="2837870"/>
                    </a:xfrm>
                    <a:prstGeom prst="rect"/>
                  </pic:spPr>
                </pic:pic>
              </a:graphicData>
            </a:graphic>
          </wp:inline>
        </w:drawing>
      </w:r>
    </w:p>
    <w:p>
      <w:pPr>
        <w:spacing w:after="200"/>
        <w:jc w:val="center"/>
      </w:pPr>
      <w:r>
        <w:rPr>
          <w:rFonts w:ascii="Liberation Sans" w:hAnsi="Liberation Sans" w:cs="DejaVu Sans" w:eastAsia="DejaVu Sans"/>
          <w:i/>
          <w:color w:val="606060"/>
          <w:sz w:val="18"/>
        </w:rPr>
        <w:t>Figure 9. Disjoint-letter family sizes across the 29 suras.</w:t>
      </w:r>
    </w:p>
    <w:p>
      <w:pPr>
        <w:jc w:val="center"/>
      </w:pPr>
      <w:r>
        <w:drawing>
          <wp:inline xmlns:a="http://schemas.openxmlformats.org/drawingml/2006/main" xmlns:pic="http://schemas.openxmlformats.org/drawingml/2006/picture">
            <wp:extent cx="4754880" cy="1794294"/>
            <wp:docPr id="10" name="Picture 10"/>
            <wp:cNvGraphicFramePr>
              <a:graphicFrameLocks noChangeAspect="1"/>
            </wp:cNvGraphicFramePr>
            <a:graphic>
              <a:graphicData uri="http://schemas.openxmlformats.org/drawingml/2006/picture">
                <pic:pic>
                  <pic:nvPicPr>
                    <pic:cNvPr id="0" name="fig10_nuzul_all.png"/>
                    <pic:cNvPicPr/>
                  </pic:nvPicPr>
                  <pic:blipFill>
                    <a:blip r:embed="rId19"/>
                    <a:stretch>
                      <a:fillRect/>
                    </a:stretch>
                  </pic:blipFill>
                  <pic:spPr>
                    <a:xfrm>
                      <a:off x="0" y="0"/>
                      <a:ext cx="4754880" cy="1794294"/>
                    </a:xfrm>
                    <a:prstGeom prst="rect"/>
                  </pic:spPr>
                </pic:pic>
              </a:graphicData>
            </a:graphic>
          </wp:inline>
        </w:drawing>
      </w:r>
    </w:p>
    <w:p>
      <w:pPr>
        <w:spacing w:after="200"/>
        <w:jc w:val="center"/>
      </w:pPr>
      <w:r>
        <w:rPr>
          <w:rFonts w:ascii="Liberation Sans" w:hAnsi="Liberation Sans" w:cs="DejaVu Sans" w:eastAsia="DejaVu Sans"/>
          <w:i/>
          <w:color w:val="606060"/>
          <w:sz w:val="18"/>
        </w:rPr>
        <w:t>Figure 10. Same-tag families also cluster in revelation order.</w:t>
      </w:r>
    </w:p>
    <w:p>
      <w:pPr>
        <w:jc w:val="center"/>
      </w:pPr>
      <w:r>
        <w:drawing>
          <wp:inline xmlns:a="http://schemas.openxmlformats.org/drawingml/2006/main" xmlns:pic="http://schemas.openxmlformats.org/drawingml/2006/picture">
            <wp:extent cx="4754880" cy="2702890"/>
            <wp:docPr id="11" name="Picture 11"/>
            <wp:cNvGraphicFramePr>
              <a:graphicFrameLocks noChangeAspect="1"/>
            </wp:cNvGraphicFramePr>
            <a:graphic>
              <a:graphicData uri="http://schemas.openxmlformats.org/drawingml/2006/picture">
                <pic:pic>
                  <pic:nvPicPr>
                    <pic:cNvPr id="0" name="fig11_freq_collapse.png"/>
                    <pic:cNvPicPr/>
                  </pic:nvPicPr>
                  <pic:blipFill>
                    <a:blip r:embed="rId20"/>
                    <a:stretch>
                      <a:fillRect/>
                    </a:stretch>
                  </pic:blipFill>
                  <pic:spPr>
                    <a:xfrm>
                      <a:off x="0" y="0"/>
                      <a:ext cx="4754880" cy="2702890"/>
                    </a:xfrm>
                    <a:prstGeom prst="rect"/>
                  </pic:spPr>
                </pic:pic>
              </a:graphicData>
            </a:graphic>
          </wp:inline>
        </w:drawing>
      </w:r>
    </w:p>
    <w:p>
      <w:pPr>
        <w:spacing w:after="200"/>
        <w:jc w:val="center"/>
      </w:pPr>
      <w:r>
        <w:rPr>
          <w:rFonts w:ascii="Liberation Sans" w:hAnsi="Liberation Sans" w:cs="DejaVu Sans" w:eastAsia="DejaVu Sans"/>
          <w:i/>
          <w:color w:val="606060"/>
          <w:sz w:val="18"/>
        </w:rPr>
        <w:t>Figure 11. The frequency claim: spectacular under a weak null, zero under the right baseline.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s="DejaVu Sans" w:eastAsia="DejaVu Sans"/>
        <w:color w:val="606060"/>
        <w:sz w:val="1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