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Disjoint Letters — Guided Tour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 via the app's engine.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Whole-corpus results (every student records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tool / test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result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verdict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· muṣḥaf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 contiguous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· revelation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 contiguous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Organization (length)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median 85 vs 26 verses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✓ flags long sūras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Theme per tag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0.049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borderline; n.s. after FDR &amp; in embedding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Letter entropy special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0.002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length-driven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Root entropy special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length-driven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 per tag (Hypothesis Lab)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0.29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✗ not per-tag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Lexical richness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 artefact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Embedding-space theme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0.1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✗ no theme (denoised)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Cross-domain FDR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 of 9 survive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contiguity + structure survive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Per-family contiguity p (tab 2 / tab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family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p (muṣḥaf, vs random subsets)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ḤM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ALM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0.006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ALR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0.0005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ṬSM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0.035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Per-letter enrichment (tab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#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letter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sample density %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enrichment p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verdict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ا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18.97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0.686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ح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1.45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0.668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4.43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0.792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س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1.92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0.782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0.94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0.43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ط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0.58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0.327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ع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2.95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0.394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3.76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0.0978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borderline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ك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3.46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0.226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ل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13.64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0.243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code (n.s.)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9.9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0.018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enriched (frequency artefact)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10.63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0.0777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borderline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Teaching point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Every whole-corpus test points the same way: the muqaṭṭaʿāt are a POSITIONAL pointer (contiguous families on both orders, flagging the long sūras) and NOT a content code — theme, per-tag length, and the embedding test are all non-significant, and only 1 of 14 letters (م, the commonest letter) is 'enriched'. The students reach the verdict collectively, each from their own letter and family.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— Guided-Tour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