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52" w:lineRule="auto"/>
      </w:pPr>
      <w:r>
        <w:rPr>
          <w:rFonts w:ascii="Arial" w:hAnsi="Arial" w:cs="Arial" w:eastAsia="Arial"/>
          <w:b/>
          <w:color w:val="1F4E79"/>
          <w:sz w:val="36"/>
        </w:rPr>
        <w:t>Two Books · Disjoint Letters — Instructor Lecture Script</w:t>
      </w:r>
    </w:p>
    <w:p>
      <w:pPr>
        <w:spacing w:after="160" w:before="0" w:line="252" w:lineRule="auto"/>
      </w:pPr>
      <w:r>
        <w:rPr>
          <w:rFonts w:ascii="Arial" w:hAnsi="Arial" w:cs="Arial" w:eastAsia="Arial"/>
          <w:b w:val="0"/>
          <w:color w:val="555555"/>
          <w:sz w:val="19"/>
        </w:rPr>
        <w:t>Spoken script, ~35 minutes, mapped to the 20-slide deck and the eight 8-beat modules. Honest spine throughout: the disjoint letters mark a contiguous block of longer, compositionally distinct suras - a positional and organizational pointer that survives the nulls and FDR - while the folkloric cipher claims do not. Every value from Book6; permutation nulls and Benjamini-Hochberg correction throughout. Arrow lines are delivery cues; time markers are cumulative.</w:t>
      </w:r>
    </w:p>
    <w:p>
      <w:pPr>
        <w:spacing w:after="60" w:before="200" w:line="252" w:lineRule="auto"/>
      </w:pPr>
      <w:r>
        <w:rPr>
          <w:rFonts w:ascii="Arial" w:hAnsi="Arial" w:cs="Arial" w:eastAsia="Arial"/>
          <w:b/>
          <w:color w:val="1F4E79"/>
          <w:sz w:val="24"/>
        </w:rPr>
        <w:t xml:space="preserve">0:00  </w:t>
      </w:r>
      <w:r>
        <w:rPr>
          <w:rFonts w:ascii="Arial" w:hAnsi="Arial" w:cs="Arial" w:eastAsia="Arial"/>
          <w:b/>
          <w:color w:val="1F4E79"/>
          <w:sz w:val="24"/>
        </w:rPr>
        <w:t>Opening · what the disjoint letters are</w:t>
      </w:r>
    </w:p>
    <w:p>
      <w:pPr>
        <w:spacing w:after="60" w:before="0" w:line="252" w:lineRule="auto"/>
      </w:pPr>
      <w:r>
        <w:rPr>
          <w:rFonts w:ascii="Arial" w:hAnsi="Arial" w:cs="Arial" w:eastAsia="Arial"/>
          <w:b w:val="0"/>
          <w:color w:val="8A4B08"/>
          <w:sz w:val="19"/>
        </w:rPr>
        <w:t>&gt; Slides 1-3.</w:t>
      </w:r>
    </w:p>
    <w:p>
      <w:pPr>
        <w:spacing w:after="100" w:before="0" w:line="252" w:lineRule="auto"/>
      </w:pPr>
      <w:r>
        <w:rPr>
          <w:rFonts w:ascii="Arial" w:hAnsi="Arial" w:cs="Arial" w:eastAsia="Arial"/>
          <w:b w:val="0"/>
          <w:sz w:val="22"/>
        </w:rPr>
        <w:t>Twenty-nine of the 114 suras open with detached letters - alif-lam-mim, alif-lam-ra, ha-mim, ta-sin-mim - recited one letter at a time. Popular accounts treat them as a hidden cipher. We will do something more disciplined: we will state a falsifiable thesis - that they act as a positional and organizational pointer to a distinct block of suras - and we will test it, alongside the cipher claims, against the corpus. Here is where we land, stated up front: a real geometric signal survives - contiguity, size, composition - while the famous code claims do not. The workbench has three scales: position, sequence, and semantic - where the marked suras sit, how their letters behave, how their roots behave.</w:t>
      </w:r>
    </w:p>
    <w:p>
      <w:pPr>
        <w:spacing w:after="60" w:before="200" w:line="252" w:lineRule="auto"/>
      </w:pPr>
      <w:r>
        <w:rPr>
          <w:rFonts w:ascii="Arial" w:hAnsi="Arial" w:cs="Arial" w:eastAsia="Arial"/>
          <w:b/>
          <w:color w:val="1F4E79"/>
          <w:sz w:val="24"/>
        </w:rPr>
        <w:t xml:space="preserve">4:00  </w:t>
      </w:r>
      <w:r>
        <w:rPr>
          <w:rFonts w:ascii="Arial" w:hAnsi="Arial" w:cs="Arial" w:eastAsia="Arial"/>
          <w:b/>
          <w:color w:val="1F4E79"/>
          <w:sz w:val="24"/>
        </w:rPr>
        <w:t>Method · permutation nulls and FDR</w:t>
      </w:r>
    </w:p>
    <w:p>
      <w:pPr>
        <w:spacing w:after="60" w:before="0" w:line="252" w:lineRule="auto"/>
      </w:pPr>
      <w:r>
        <w:rPr>
          <w:rFonts w:ascii="Arial" w:hAnsi="Arial" w:cs="Arial" w:eastAsia="Arial"/>
          <w:b w:val="0"/>
          <w:color w:val="8A4B08"/>
          <w:sz w:val="19"/>
        </w:rPr>
        <w:t>&gt; Slides 4-5. This is the discipline that makes the rest trustworthy.</w:t>
      </w:r>
    </w:p>
    <w:p>
      <w:pPr>
        <w:spacing w:after="100" w:before="0" w:line="252" w:lineRule="auto"/>
      </w:pPr>
      <w:r>
        <w:rPr>
          <w:rFonts w:ascii="Arial" w:hAnsi="Arial" w:cs="Arial" w:eastAsia="Arial"/>
          <w:b w:val="0"/>
          <w:sz w:val="22"/>
        </w:rPr>
        <w:t>Two tools. The permutation null: we re-tag 29 random suras thousands of times and rebuild each statistic, so we know what chance alone produces. And Benjamini-Hochberg correction: because we run a whole battery of tests, some will cross p below 0.05 by luck - FDR correction controls that across the battery. This matters enormously here, because a single uncorrected borderline p is exactly how folklore manufactures a miracle. So every result today is reported with its FDR-corrected status, never a lone p.</w:t>
      </w:r>
    </w:p>
    <w:p>
      <w:pPr>
        <w:spacing w:after="60" w:before="200" w:line="252" w:lineRule="auto"/>
      </w:pPr>
      <w:r>
        <w:rPr>
          <w:rFonts w:ascii="Arial" w:hAnsi="Arial" w:cs="Arial" w:eastAsia="Arial"/>
          <w:b/>
          <w:color w:val="1F4E79"/>
          <w:sz w:val="24"/>
        </w:rPr>
        <w:t xml:space="preserve">8:00  </w:t>
      </w:r>
      <w:r>
        <w:rPr>
          <w:rFonts w:ascii="Arial" w:hAnsi="Arial" w:cs="Arial" w:eastAsia="Arial"/>
          <w:b/>
          <w:color w:val="1F4E79"/>
          <w:sz w:val="24"/>
        </w:rPr>
        <w:t>Module 1-2 · the tag, and contiguity</w:t>
      </w:r>
    </w:p>
    <w:p>
      <w:pPr>
        <w:spacing w:after="60" w:before="0" w:line="252" w:lineRule="auto"/>
      </w:pPr>
      <w:r>
        <w:rPr>
          <w:rFonts w:ascii="Arial" w:hAnsi="Arial" w:cs="Arial" w:eastAsia="Arial"/>
          <w:b w:val="0"/>
          <w:color w:val="8A4B08"/>
          <w:sz w:val="19"/>
        </w:rPr>
        <w:t>&gt; Slides 6-7.</w:t>
      </w:r>
    </w:p>
    <w:p>
      <w:pPr>
        <w:spacing w:after="100" w:before="0" w:line="252" w:lineRule="auto"/>
      </w:pPr>
      <w:r>
        <w:rPr>
          <w:rFonts w:ascii="Arial" w:hAnsi="Arial" w:cs="Arial" w:eastAsia="Arial"/>
          <w:b w:val="0"/>
          <w:sz w:val="22"/>
        </w:rPr>
        <w:t>We tag each sura muqattaat-bearing or not - 29 against 85 - a clean two-group test. The first and strongest question is geometric: do the marked suras cluster together in the order? We measure their contiguity and compare to thousands of random tags of the same size - and we do it in TWO independent orderings, the mushaf order and the revelation, or nuzul, order. The result: contiguity is significant at p about 0.0005 in BOTH orderings. A signal that holds in two independent arrangements is very hard to dismiss as an artefact of one. The marked suras genuinely form a contiguous block.</w:t>
      </w:r>
    </w:p>
    <w:p>
      <w:pPr>
        <w:spacing w:after="60" w:before="200" w:line="252" w:lineRule="auto"/>
      </w:pPr>
      <w:r>
        <w:rPr>
          <w:rFonts w:ascii="Arial" w:hAnsi="Arial" w:cs="Arial" w:eastAsia="Arial"/>
          <w:b/>
          <w:color w:val="1F4E79"/>
          <w:sz w:val="24"/>
        </w:rPr>
        <w:t xml:space="preserve">13:00  </w:t>
      </w:r>
      <w:r>
        <w:rPr>
          <w:rFonts w:ascii="Arial" w:hAnsi="Arial" w:cs="Arial" w:eastAsia="Arial"/>
          <w:b/>
          <w:color w:val="1F4E79"/>
          <w:sz w:val="24"/>
        </w:rPr>
        <w:t>Module 3 · per-family contiguity</w:t>
      </w:r>
    </w:p>
    <w:p>
      <w:pPr>
        <w:spacing w:after="60" w:before="0" w:line="252" w:lineRule="auto"/>
      </w:pPr>
      <w:r>
        <w:rPr>
          <w:rFonts w:ascii="Arial" w:hAnsi="Arial" w:cs="Arial" w:eastAsia="Arial"/>
          <w:b w:val="0"/>
          <w:color w:val="8A4B08"/>
          <w:sz w:val="19"/>
        </w:rPr>
        <w:t>&gt; Slide 8.</w:t>
      </w:r>
    </w:p>
    <w:p>
      <w:pPr>
        <w:spacing w:after="100" w:before="0" w:line="252" w:lineRule="auto"/>
      </w:pPr>
      <w:r>
        <w:rPr>
          <w:rFonts w:ascii="Arial" w:hAnsi="Arial" w:cs="Arial" w:eastAsia="Arial"/>
          <w:b w:val="0"/>
          <w:sz w:val="22"/>
        </w:rPr>
        <w:t>Does the clustering hold at the family level - the alif-lam-mim family, the ha-mim family, and so on - not just in aggregate? We repeat the contiguity test within each family. Every family is significantly contiguous: ha-mim and alif-lam-ra at about 0.0005, alif-lam-mim at 0.006, ta-sin-mim at 0.035. So the geometry is family-structured, not one lucky run of adjacent suras.</w:t>
      </w:r>
    </w:p>
    <w:p>
      <w:pPr>
        <w:spacing w:after="60" w:before="200" w:line="252" w:lineRule="auto"/>
      </w:pPr>
      <w:r>
        <w:rPr>
          <w:rFonts w:ascii="Arial" w:hAnsi="Arial" w:cs="Arial" w:eastAsia="Arial"/>
          <w:b/>
          <w:color w:val="1F4E79"/>
          <w:sz w:val="24"/>
        </w:rPr>
        <w:t xml:space="preserve">17:00  </w:t>
      </w:r>
      <w:r>
        <w:rPr>
          <w:rFonts w:ascii="Arial" w:hAnsi="Arial" w:cs="Arial" w:eastAsia="Arial"/>
          <w:b/>
          <w:color w:val="1F4E79"/>
          <w:sz w:val="24"/>
        </w:rPr>
        <w:t>Module 4 · the suras are longer</w:t>
      </w:r>
    </w:p>
    <w:p>
      <w:pPr>
        <w:spacing w:after="60" w:before="0" w:line="252" w:lineRule="auto"/>
      </w:pPr>
      <w:r>
        <w:rPr>
          <w:rFonts w:ascii="Arial" w:hAnsi="Arial" w:cs="Arial" w:eastAsia="Arial"/>
          <w:b w:val="0"/>
          <w:color w:val="8A4B08"/>
          <w:sz w:val="19"/>
        </w:rPr>
        <w:t>&gt; Slide 9.</w:t>
      </w:r>
    </w:p>
    <w:p>
      <w:pPr>
        <w:spacing w:after="100" w:before="0" w:line="252" w:lineRule="auto"/>
      </w:pPr>
      <w:r>
        <w:rPr>
          <w:rFonts w:ascii="Arial" w:hAnsi="Arial" w:cs="Arial" w:eastAsia="Arial"/>
          <w:b w:val="0"/>
          <w:sz w:val="22"/>
        </w:rPr>
        <w:t>Contiguous in position - but are they also distinct in size? Compare the median length of the 29 marked suras to the other 85. The marked suras run about 85 ayahs at the median, against about 26 for the rest - markedly longer. A structural marker that coincides with a structural property like scale is independent evidence the tag points at something real in the architecture.</w:t>
      </w:r>
    </w:p>
    <w:p>
      <w:pPr>
        <w:spacing w:after="60" w:before="200" w:line="252" w:lineRule="auto"/>
      </w:pPr>
      <w:r>
        <w:rPr>
          <w:rFonts w:ascii="Arial" w:hAnsi="Arial" w:cs="Arial" w:eastAsia="Arial"/>
          <w:b/>
          <w:color w:val="1F4E79"/>
          <w:sz w:val="24"/>
        </w:rPr>
        <w:t xml:space="preserve">21:00  </w:t>
      </w:r>
      <w:r>
        <w:rPr>
          <w:rFonts w:ascii="Arial" w:hAnsi="Arial" w:cs="Arial" w:eastAsia="Arial"/>
          <w:b/>
          <w:color w:val="1F4E79"/>
          <w:sz w:val="24"/>
        </w:rPr>
        <w:t>Module 5 · the code claims fail</w:t>
      </w:r>
    </w:p>
    <w:p>
      <w:pPr>
        <w:spacing w:after="60" w:before="0" w:line="252" w:lineRule="auto"/>
      </w:pPr>
      <w:r>
        <w:rPr>
          <w:rFonts w:ascii="Arial" w:hAnsi="Arial" w:cs="Arial" w:eastAsia="Arial"/>
          <w:b w:val="0"/>
          <w:color w:val="8A4B08"/>
          <w:sz w:val="19"/>
        </w:rPr>
        <w:t>&gt; Slides 10-11. Predict, then reveal.</w:t>
      </w:r>
    </w:p>
    <w:p>
      <w:pPr>
        <w:spacing w:after="100" w:before="0" w:line="252" w:lineRule="auto"/>
      </w:pPr>
      <w:r>
        <w:rPr>
          <w:rFonts w:ascii="Arial" w:hAnsi="Arial" w:cs="Arial" w:eastAsia="Arial"/>
          <w:b w:val="0"/>
          <w:sz w:val="22"/>
        </w:rPr>
        <w:t>Now the attractive claims, the ones honesty requires us to test. First, the famous one: that Surat Qaf, sura 50, is saturated with the letter qaf. Its qaf density is 3.76% - and crucially, that ranks it 111th of 114 suras, not first. Against a permutation null the elevation is p about 0.10 - not significant. The story is appealing and the data simply does not support it. Likewise the thematic-coding claim comes in at p equals 0.049 - borderline, and it does NOT survive FDR - and an embedding-similarity claim sits at about 0.10. None of the cipher claims survive. This is the unlearn: the letters are not a decoded code.</w:t>
      </w:r>
    </w:p>
    <w:p>
      <w:pPr>
        <w:spacing w:after="60" w:before="200" w:line="252" w:lineRule="auto"/>
      </w:pPr>
      <w:r>
        <w:rPr>
          <w:rFonts w:ascii="Arial" w:hAnsi="Arial" w:cs="Arial" w:eastAsia="Arial"/>
          <w:b/>
          <w:color w:val="1F4E79"/>
          <w:sz w:val="24"/>
        </w:rPr>
        <w:t xml:space="preserve">26:00  </w:t>
      </w:r>
      <w:r>
        <w:rPr>
          <w:rFonts w:ascii="Arial" w:hAnsi="Arial" w:cs="Arial" w:eastAsia="Arial"/>
          <w:b/>
          <w:color w:val="1F4E79"/>
          <w:sz w:val="24"/>
        </w:rPr>
        <w:t>Module 6-7 · what IS different - information theory</w:t>
      </w:r>
    </w:p>
    <w:p>
      <w:pPr>
        <w:spacing w:after="60" w:before="0" w:line="252" w:lineRule="auto"/>
      </w:pPr>
      <w:r>
        <w:rPr>
          <w:rFonts w:ascii="Arial" w:hAnsi="Arial" w:cs="Arial" w:eastAsia="Arial"/>
          <w:b w:val="0"/>
          <w:color w:val="8A4B08"/>
          <w:sz w:val="19"/>
        </w:rPr>
        <w:t>&gt; Slides 12-13.</w:t>
      </w:r>
    </w:p>
    <w:p>
      <w:pPr>
        <w:spacing w:after="100" w:before="0" w:line="252" w:lineRule="auto"/>
      </w:pPr>
      <w:r>
        <w:rPr>
          <w:rFonts w:ascii="Arial" w:hAnsi="Arial" w:cs="Arial" w:eastAsia="Arial"/>
          <w:b w:val="0"/>
          <w:sz w:val="22"/>
        </w:rPr>
        <w:t>So if not a cipher, what IS different about these suras? At the letter scale, the letter-entropy of the marked group differs from the rest at p about 0.002 - they are compositionally distinct, not merely longer. And the distinction persists up a level: at the root scale, root-entropy differs at about 0.0005 and lexical richness at about 0.0005. So the marked suras are a genuinely distinct class at both the letter and the root scale - a multi-scale structural signal, exactly what a real organizational marker should leave behind.</w:t>
      </w:r>
    </w:p>
    <w:p>
      <w:pPr>
        <w:spacing w:after="60" w:before="200" w:line="252" w:lineRule="auto"/>
      </w:pPr>
      <w:r>
        <w:rPr>
          <w:rFonts w:ascii="Arial" w:hAnsi="Arial" w:cs="Arial" w:eastAsia="Arial"/>
          <w:b/>
          <w:color w:val="1F4E79"/>
          <w:sz w:val="24"/>
        </w:rPr>
        <w:t xml:space="preserve">31:00  </w:t>
      </w:r>
      <w:r>
        <w:rPr>
          <w:rFonts w:ascii="Arial" w:hAnsi="Arial" w:cs="Arial" w:eastAsia="Arial"/>
          <w:b/>
          <w:color w:val="1F4E79"/>
          <w:sz w:val="24"/>
        </w:rPr>
        <w:t>Module 8 · synthesis, audit, disclaimer</w:t>
      </w:r>
    </w:p>
    <w:p>
      <w:pPr>
        <w:spacing w:after="60" w:before="0" w:line="252" w:lineRule="auto"/>
      </w:pPr>
      <w:r>
        <w:rPr>
          <w:rFonts w:ascii="Arial" w:hAnsi="Arial" w:cs="Arial" w:eastAsia="Arial"/>
          <w:b w:val="0"/>
          <w:color w:val="8A4B08"/>
          <w:sz w:val="19"/>
        </w:rPr>
        <w:t>&gt; Slides 14-18.</w:t>
      </w:r>
    </w:p>
    <w:p>
      <w:pPr>
        <w:spacing w:after="100" w:before="0" w:line="252" w:lineRule="auto"/>
      </w:pPr>
      <w:r>
        <w:rPr>
          <w:rFonts w:ascii="Arial" w:hAnsi="Arial" w:cs="Arial" w:eastAsia="Arial"/>
          <w:b w:val="0"/>
          <w:sz w:val="22"/>
        </w:rPr>
        <w:t>Pull it together. What survives the nulls and FDR: contiguity in two orderings, per-family clustering, the size gap of 85 to 26, and compositional distinctness at both letter and root scale. What fails: Qaf saturation, thematic coding, embedding similarity. The whole-battery slide shows it in one picture - six green bars above the line, three red below. The honest reading: al-Muqattaat are a validated positional and organizational pointer to a distinct block of suras - not a letter cipher.</w:t>
      </w:r>
    </w:p>
    <w:p>
      <w:pPr>
        <w:spacing w:after="60" w:before="0" w:line="252" w:lineRule="auto"/>
      </w:pPr>
      <w:r>
        <w:rPr>
          <w:rFonts w:ascii="Arial" w:hAnsi="Arial" w:cs="Arial" w:eastAsia="Arial"/>
          <w:b w:val="0"/>
          <w:color w:val="8A4B08"/>
          <w:sz w:val="19"/>
        </w:rPr>
        <w:t>&gt; Slide 16 - say verbatim.</w:t>
      </w:r>
    </w:p>
    <w:p>
      <w:pPr>
        <w:spacing w:after="100" w:before="0" w:line="252" w:lineRule="auto"/>
      </w:pPr>
      <w:r>
        <w:rPr>
          <w:rFonts w:ascii="Arial" w:hAnsi="Arial" w:cs="Arial" w:eastAsia="Arial"/>
          <w:b w:val="0"/>
          <w:sz w:val="22"/>
        </w:rPr>
        <w:t>The disclaimer, plainly: the disjoint letters are not a decoded cipher; contiguity is not theology; a borderline uncorrected p is not a finding. We do not claim to know WHY the letters are there - only what measurable structure the tag does and does not predict. The workbench separates a real geometric signal from folklore, with a null behind every answer and FDR across the battery - judged by reproducibility, never offered as proof of intent.</w:t>
      </w:r>
    </w:p>
    <w:p>
      <w:pPr>
        <w:spacing w:after="60" w:before="200" w:line="252" w:lineRule="auto"/>
      </w:pPr>
      <w:r>
        <w:rPr>
          <w:rFonts w:ascii="Arial" w:hAnsi="Arial" w:cs="Arial" w:eastAsia="Arial"/>
          <w:b/>
          <w:color w:val="1F4E79"/>
          <w:sz w:val="24"/>
        </w:rPr>
        <w:t xml:space="preserve">34:00  </w:t>
      </w:r>
      <w:r>
        <w:rPr>
          <w:rFonts w:ascii="Arial" w:hAnsi="Arial" w:cs="Arial" w:eastAsia="Arial"/>
          <w:b/>
          <w:color w:val="1F4E79"/>
          <w:sz w:val="24"/>
        </w:rPr>
        <w:t>Close</w:t>
      </w:r>
    </w:p>
    <w:p>
      <w:pPr>
        <w:spacing w:after="60" w:before="0" w:line="252" w:lineRule="auto"/>
      </w:pPr>
      <w:r>
        <w:rPr>
          <w:rFonts w:ascii="Arial" w:hAnsi="Arial" w:cs="Arial" w:eastAsia="Arial"/>
          <w:b w:val="0"/>
          <w:color w:val="8A4B08"/>
          <w:sz w:val="19"/>
        </w:rPr>
        <w:t>&gt; Slides 17-20.</w:t>
      </w:r>
    </w:p>
    <w:p>
      <w:pPr>
        <w:spacing w:after="100" w:before="0" w:line="252" w:lineRule="auto"/>
      </w:pPr>
      <w:r>
        <w:rPr>
          <w:rFonts w:ascii="Arial" w:hAnsi="Arial" w:cs="Arial" w:eastAsia="Arial"/>
          <w:b w:val="0"/>
          <w:sz w:val="22"/>
        </w:rPr>
        <w:t>Quick reference is on slide 17 - the terms and the live Book6 numbers. To close: tag the 29 suras and the geometry appears - they cluster, they are longer, they are compositionally distinct - while the cipher claims fall away. A pointer, not a code. Next in the series, Signal and Biology read the same corpus as an ordered signal and a genome; the FDR Summary then collects every Two Books test into one corrected dashboard. See you there.</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Two Books · Disjoint Letters — Instructor Script (v1)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Arial" w:hAnsi="Arial" w:cs="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