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Disjoint Letters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13 total. Every value reproducible live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the detached letters (alif-lam-mim, etc.) opening 29 of the 114 suras.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a falsifiable pointer thesis, tested against permutation nulls - not assumed to be a code.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contiguity = clustering of the 29 tagged suras vs random tags of the same size.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holding in two independent orderings makes an artefact explanation very hard.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HM and ALR ~0.0005, ALM 0.006, TSM 0.035 - all significant.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marked suras median ~85 ayahs vs ~26 - markedly longer.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the famous saturation claim fails: rank 111, p ~ 0.10.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a lone borderline p; Benjamini-Hochberg correction demotes it.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FDR controls false discoveries across the battery - the guard against manufactured miracles.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p ~ 0.002: the marked suras differ in letter information, not only length.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root-entropy ~0.0005 and richness ~0.0005 - the distinction persists up a scale.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geometry + size + composition survive; the cipher claims fail.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only the survived findings are licensed; the cipher claims are not.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Q7, Q8, Q9 are the core 'folklore guard' checks - they confirm the student did NOT accept the cipher claims or a lone borderline p.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Q4 (two orderings) and Q10/Q11 (multi-scale composition) verify the genuine, survived findings.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Disjoint Letters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