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Disjoint Letters — Worked Example: signal vs folklore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Two claims walked end to end with live Book6 numbers, permutation nulls, and FDR. The skill: keep a validated geometric signal and reject a famous cipher claim, using the same discipline for both.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1 — State both claims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Claim A (geometry): the 29 muqaṭṭaʿāt sūras cluster contiguously in the order.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Claim B (folklore): Sūrat Qāf (50) is saturated with the letter qāf.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2 — Test Claim A: contiguity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test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p (vs permutation null)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verdict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contiguity, muṣḥaf order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significant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contiguity, nuzūl order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significant</w:t>
            </w:r>
          </w:p>
        </w:tc>
      </w:tr>
    </w:tbl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Re-tag 29 random sūras thousands of times; the real tag clusters far more than chance — and it holds in TWO independent orderings.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Corroborating geometry: marked sūras median ≈ 85 āyahs vs ≈ 26 for the rest (longer); letter-entropy differs at p ≈ 0.002; root-entropy and richness at p ≈ 0.0005.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Verdict A: SURVIVES — a real positional/organizational signal.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3 — Test Claim B: the Qāf myth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quantity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value (Book6)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qāf density in sūra 50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3.76%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its rank among 114 sūras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111th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 (vs permutation null)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≈ 0.10</w:t>
            </w:r>
          </w:p>
        </w:tc>
      </w:tr>
    </w:tbl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The density is unremarkable — sūra 50 ranks 111th, not 1st — and the elevation is not significant (p ≈ 0.10).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Verdict B: FAILS — an attractive story the data does not support.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4 — Apply FDR to the whole battery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Read together, not in isolation: the thematic-coding claim comes in at p = 0.049 — borderline, and it does NOT survive Benjamini–Hochberg correction; the embedding-similarity claim is p ≈ 0.10. Six geometric/compositional tests survive; three cipher claims fail.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5 — Report: one fact + one labelled reading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Fact:  </w:t>
      </w:r>
      <w:r>
        <w:rPr>
          <w:rFonts w:ascii="Arial" w:hAnsi="Arial" w:cs="Arial" w:eastAsia="Arial"/>
          <w:b w:val="0"/>
          <w:sz w:val="22"/>
        </w:rPr>
        <w:t>muqaṭṭaʿāt sūras are significantly contiguous (p ≈ 0.0005, two orderings), longer (median 85 vs 26), and compositionally distinct (letter- and root-entropy ≤ 0.002); the Qāf-letter claim is n.s. (p ≈ 0.10).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Interpretation (labelled):  </w:t>
      </w:r>
      <w:r>
        <w:rPr>
          <w:rFonts w:ascii="Arial" w:hAnsi="Arial" w:cs="Arial" w:eastAsia="Arial"/>
          <w:b w:val="0"/>
          <w:sz w:val="22"/>
        </w:rPr>
        <w:t>I read the disjoint letters as a validated positional/organizational pointer to a distinct block of sūras — not a letter cipher.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Disjoint Letters — Worked Example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