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9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Under H₀ the tag labels are interchangeable, so every relabeling is equally likely.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builds the null from the data — no distributional assumption, exact by construction.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control background clustering and test the SPECIFIC tag effect.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p-value is an estimate with error; sample enough (≈50,000) that the conclusion is stable.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same machinery refuted the frequency (0/29) and theme (0.27) claims — it can reject.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