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9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Exchangeability of labels.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Labels, among the fixed 29.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Within-family mean distance.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≈50,000.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Tail fraction at least as clustered.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It rejected the content claims.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L9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